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1C7F94"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שופטת</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יעל ייטב</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84474D" w:rsidRDefault="001C7F94" w:rsidP="001C7F94">
                <w:pPr>
                  <w:suppressLineNumbers/>
                  <w:rPr>
                    <w:rFonts w:ascii="Arial" w:hAnsi="Arial"/>
                    <w:b/>
                    <w:bCs/>
                    <w:noProof w:val="0"/>
                    <w:sz w:val="26"/>
                    <w:szCs w:val="26"/>
                    <w:rtl/>
                  </w:rPr>
                </w:pPr>
                <w:r>
                  <w:rPr>
                    <w:rFonts w:ascii="Arial" w:hAnsi="Arial" w:hint="cs"/>
                    <w:b/>
                    <w:bCs/>
                    <w:noProof w:val="0"/>
                    <w:sz w:val="26"/>
                    <w:szCs w:val="26"/>
                    <w:rtl/>
                  </w:rPr>
                  <w:t>ה</w:t>
                </w:r>
                <w:r w:rsidR="007B24C1">
                  <w:rPr>
                    <w:rFonts w:ascii="Arial" w:hAnsi="Arial"/>
                    <w:b/>
                    <w:bCs/>
                    <w:noProof w:val="0"/>
                    <w:sz w:val="26"/>
                    <w:szCs w:val="26"/>
                    <w:rtl/>
                  </w:rPr>
                  <w:t>מערער</w:t>
                </w:r>
                <w:r>
                  <w:rPr>
                    <w:rFonts w:ascii="Arial" w:hAnsi="Arial" w:hint="cs"/>
                    <w:b/>
                    <w:bCs/>
                    <w:noProof w:val="0"/>
                    <w:sz w:val="26"/>
                    <w:szCs w:val="26"/>
                    <w:rtl/>
                  </w:rPr>
                  <w:t>ות</w:t>
                </w:r>
              </w:p>
            </w:sdtContent>
          </w:sdt>
        </w:tc>
        <w:tc>
          <w:tcPr>
            <w:tcW w:w="5571" w:type="dxa"/>
          </w:tcPr>
          <w:p w:rsidR="00FA7FD0" w:rsidRDefault="00FA7FD0" w:rsidP="00D44968">
            <w:pPr>
              <w:suppressLineNumbers/>
              <w:rPr>
                <w:rtl/>
              </w:rPr>
            </w:pPr>
          </w:p>
          <w:p w:rsidR="0094424E" w:rsidRDefault="00586826"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FE09EC">
                  <w:rPr>
                    <w:rFonts w:ascii="Arial" w:hAnsi="Arial"/>
                    <w:b/>
                    <w:bCs/>
                    <w:noProof w:val="0"/>
                    <w:sz w:val="26"/>
                    <w:szCs w:val="26"/>
                    <w:rtl/>
                  </w:rPr>
                  <w:t>קום סנטר טכנולוגיות בע"מ</w:t>
                </w:r>
                <w:r w:rsidR="001C7F94">
                  <w:rPr>
                    <w:rFonts w:ascii="Arial" w:hAnsi="Arial" w:hint="cs"/>
                    <w:b/>
                    <w:bCs/>
                    <w:noProof w:val="0"/>
                    <w:sz w:val="26"/>
                    <w:szCs w:val="26"/>
                    <w:rtl/>
                  </w:rPr>
                  <w:t xml:space="preserve"> ואח'</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86826" w:rsidP="001C7F94">
            <w:pPr>
              <w:suppressLineNumbers/>
              <w:rPr>
                <w:rFonts w:ascii="Arial" w:hAnsi="Arial"/>
                <w:b/>
                <w:bCs/>
                <w:noProof w:val="0"/>
                <w:sz w:val="26"/>
                <w:szCs w:val="26"/>
              </w:rPr>
            </w:pPr>
            <w:sdt>
              <w:sdtPr>
                <w:rPr>
                  <w:rtl/>
                </w:rPr>
                <w:alias w:val="1184"/>
                <w:tag w:val="1184"/>
                <w:id w:val="-340621022"/>
                <w:text w:multiLine="1"/>
              </w:sdtPr>
              <w:sdtEndPr/>
              <w:sdtContent>
                <w:r w:rsidR="001C7F94">
                  <w:rPr>
                    <w:rFonts w:ascii="Arial" w:hAnsi="Arial" w:hint="cs"/>
                    <w:b/>
                    <w:bCs/>
                    <w:noProof w:val="0"/>
                    <w:sz w:val="26"/>
                    <w:szCs w:val="26"/>
                    <w:rtl/>
                  </w:rPr>
                  <w:t>ה</w:t>
                </w:r>
                <w:r w:rsidR="00FE09EC">
                  <w:rPr>
                    <w:rFonts w:ascii="Arial" w:hAnsi="Arial"/>
                    <w:b/>
                    <w:bCs/>
                    <w:noProof w:val="0"/>
                    <w:sz w:val="26"/>
                    <w:szCs w:val="26"/>
                    <w:rtl/>
                  </w:rPr>
                  <w:t>משיב</w:t>
                </w:r>
              </w:sdtContent>
            </w:sdt>
          </w:p>
        </w:tc>
        <w:tc>
          <w:tcPr>
            <w:tcW w:w="5571" w:type="dxa"/>
          </w:tcPr>
          <w:p w:rsidR="00CF6BB7" w:rsidRPr="00CD516B" w:rsidRDefault="00586826" w:rsidP="001C7F94">
            <w:pPr>
              <w:suppressLineNumbers/>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1C7F94">
                  <w:rPr>
                    <w:rFonts w:ascii="Arial" w:hAnsi="Arial" w:hint="cs"/>
                    <w:b/>
                    <w:bCs/>
                    <w:noProof w:val="0"/>
                    <w:sz w:val="26"/>
                    <w:szCs w:val="26"/>
                    <w:rtl/>
                  </w:rPr>
                  <w:t>מנהל מס ערך מוסף אילת</w:t>
                </w:r>
              </w:sdtContent>
            </w:sdt>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B62AD7" w:rsidRPr="00B62AD7" w:rsidRDefault="00586826" w:rsidP="00B66717">
            <w:pPr>
              <w:rPr>
                <w:rFonts w:ascii="David" w:eastAsia="David" w:hAnsi="David"/>
                <w:b/>
                <w:bCs/>
                <w:noProof w:val="0"/>
              </w:rPr>
            </w:pPr>
            <w:sdt>
              <w:sdtPr>
                <w:rPr>
                  <w:rFonts w:ascii="David" w:eastAsia="David" w:hAnsi="David"/>
                  <w:b/>
                  <w:bCs/>
                  <w:rtl/>
                </w:rPr>
                <w:alias w:val="2360"/>
                <w:tag w:val="2360"/>
                <w:id w:val="-224524960"/>
                <w:lock w:val="contentLocked"/>
                <w:placeholder>
                  <w:docPart w:val="610C6E051A88448494B3C30FBAD74773"/>
                </w:placeholder>
                <w:text w:multiLine="1"/>
              </w:sdtPr>
              <w:sdtEndPr/>
              <w:sdtContent/>
            </w:sdt>
          </w:p>
        </w:tc>
        <w:tc>
          <w:tcPr>
            <w:tcW w:w="5571" w:type="dxa"/>
          </w:tcPr>
          <w:p w:rsidR="00B66717" w:rsidRPr="00B62AD7" w:rsidRDefault="00B66717" w:rsidP="00B66717">
            <w:pPr>
              <w:rPr>
                <w:b/>
                <w:bCs/>
                <w:sz w:val="26"/>
                <w:szCs w:val="26"/>
              </w:rPr>
            </w:pPr>
          </w:p>
        </w:tc>
      </w:tr>
      <w:tr w:rsidR="004C17EE" w:rsidTr="00D620FD">
        <w:trPr>
          <w:jc w:val="center"/>
        </w:trPr>
        <w:tc>
          <w:tcPr>
            <w:tcW w:w="8820" w:type="dxa"/>
            <w:gridSpan w:val="3"/>
          </w:tcPr>
          <w:p w:rsidR="0084474D" w:rsidRDefault="0084474D">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B95D6E" w:rsidRDefault="00694556">
      <w:pPr>
        <w:spacing w:line="360" w:lineRule="auto"/>
        <w:jc w:val="both"/>
        <w:rPr>
          <w:rFonts w:ascii="Arial" w:hAnsi="Arial"/>
          <w:noProof w:val="0"/>
          <w:rtl/>
        </w:rPr>
      </w:pPr>
      <w:bookmarkStart w:id="1" w:name="NGCSBookmark"/>
      <w:bookmarkEnd w:id="1"/>
    </w:p>
    <w:p w:rsidR="001C7F94" w:rsidRDefault="002131D3" w:rsidP="001C7F94">
      <w:pPr>
        <w:rPr>
          <w:rFonts w:ascii="David" w:hAnsi="David"/>
          <w:b/>
          <w:bCs/>
          <w:sz w:val="26"/>
          <w:szCs w:val="26"/>
          <w:u w:val="single"/>
          <w:rtl/>
        </w:rPr>
      </w:pPr>
      <w:r>
        <w:rPr>
          <w:rFonts w:ascii="David" w:hAnsi="David"/>
          <w:b/>
          <w:bCs/>
          <w:sz w:val="26"/>
          <w:szCs w:val="26"/>
          <w:u w:val="single"/>
          <w:rtl/>
        </w:rPr>
        <w:t>מבוא</w:t>
      </w:r>
    </w:p>
    <w:p w:rsidR="002131D3" w:rsidRDefault="002131D3" w:rsidP="001C7F94">
      <w:pPr>
        <w:rPr>
          <w:rFonts w:ascii="David" w:hAnsi="David"/>
          <w:b/>
          <w:bCs/>
          <w:noProof w:val="0"/>
          <w:sz w:val="26"/>
          <w:szCs w:val="26"/>
          <w:u w:val="single"/>
        </w:rPr>
      </w:pPr>
    </w:p>
    <w:p w:rsidR="001C7F94" w:rsidRPr="00D82525" w:rsidRDefault="001C7F94" w:rsidP="00D82525">
      <w:pPr>
        <w:pStyle w:val="ad"/>
        <w:numPr>
          <w:ilvl w:val="0"/>
          <w:numId w:val="1"/>
        </w:numPr>
        <w:spacing w:line="360" w:lineRule="auto"/>
        <w:rPr>
          <w:rFonts w:ascii="David" w:hAnsi="David" w:cs="David"/>
          <w:sz w:val="26"/>
          <w:szCs w:val="26"/>
        </w:rPr>
      </w:pPr>
      <w:r>
        <w:rPr>
          <w:rFonts w:ascii="David" w:hAnsi="David" w:cs="David"/>
          <w:sz w:val="26"/>
          <w:szCs w:val="26"/>
          <w:rtl/>
        </w:rPr>
        <w:t>בקשה לקבלת הערעורים על הסף.</w:t>
      </w:r>
    </w:p>
    <w:p w:rsidR="001C7F94" w:rsidRPr="00D82525" w:rsidRDefault="001C7F94" w:rsidP="00D82525">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המערערות, חברות הפועלות בתחום השיווק, הפרסום, קידום ובניית אתרים לעסקים, הגישו ערעורים שהדיון בהם אוחד, לפי </w:t>
      </w:r>
      <w:r>
        <w:rPr>
          <w:rFonts w:ascii="David" w:hAnsi="David" w:cs="David"/>
          <w:b/>
          <w:bCs/>
          <w:sz w:val="26"/>
          <w:szCs w:val="26"/>
          <w:rtl/>
        </w:rPr>
        <w:t>חוק מס ערך מוסף, התשל"ו – 1975</w:t>
      </w:r>
      <w:r>
        <w:rPr>
          <w:rFonts w:ascii="David" w:hAnsi="David" w:cs="David"/>
          <w:sz w:val="26"/>
          <w:szCs w:val="26"/>
          <w:rtl/>
        </w:rPr>
        <w:t xml:space="preserve"> (להלן- "</w:t>
      </w:r>
      <w:r>
        <w:rPr>
          <w:rFonts w:ascii="David" w:hAnsi="David" w:cs="David"/>
          <w:b/>
          <w:bCs/>
          <w:sz w:val="26"/>
          <w:szCs w:val="26"/>
          <w:rtl/>
        </w:rPr>
        <w:t>חוק מס ערך מוסף</w:t>
      </w:r>
      <w:r>
        <w:rPr>
          <w:rFonts w:ascii="David" w:hAnsi="David" w:cs="David"/>
          <w:sz w:val="26"/>
          <w:szCs w:val="26"/>
          <w:rtl/>
        </w:rPr>
        <w:t xml:space="preserve">"), על </w:t>
      </w:r>
      <w:r>
        <w:rPr>
          <w:rFonts w:ascii="David" w:hAnsi="David" w:cs="David" w:hint="cs"/>
          <w:sz w:val="26"/>
          <w:szCs w:val="26"/>
          <w:rtl/>
        </w:rPr>
        <w:t xml:space="preserve">שתי </w:t>
      </w:r>
      <w:r>
        <w:rPr>
          <w:rFonts w:ascii="David" w:hAnsi="David" w:cs="David"/>
          <w:sz w:val="26"/>
          <w:szCs w:val="26"/>
          <w:rtl/>
        </w:rPr>
        <w:t>החלט</w:t>
      </w:r>
      <w:r>
        <w:rPr>
          <w:rFonts w:ascii="David" w:hAnsi="David" w:cs="David" w:hint="cs"/>
          <w:sz w:val="26"/>
          <w:szCs w:val="26"/>
          <w:rtl/>
        </w:rPr>
        <w:t>ות</w:t>
      </w:r>
      <w:r>
        <w:rPr>
          <w:rFonts w:ascii="David" w:hAnsi="David" w:cs="David"/>
          <w:sz w:val="26"/>
          <w:szCs w:val="26"/>
          <w:rtl/>
        </w:rPr>
        <w:t xml:space="preserve"> </w:t>
      </w:r>
      <w:r>
        <w:rPr>
          <w:rFonts w:ascii="David" w:hAnsi="David" w:cs="David" w:hint="cs"/>
          <w:sz w:val="26"/>
          <w:szCs w:val="26"/>
          <w:rtl/>
        </w:rPr>
        <w:t xml:space="preserve">שניתנו </w:t>
      </w:r>
      <w:r>
        <w:rPr>
          <w:rFonts w:ascii="David" w:hAnsi="David" w:cs="David"/>
          <w:sz w:val="26"/>
          <w:szCs w:val="26"/>
          <w:rtl/>
        </w:rPr>
        <w:t>בהשגות שהגישו</w:t>
      </w:r>
      <w:r>
        <w:rPr>
          <w:rFonts w:ascii="David" w:hAnsi="David" w:cs="David" w:hint="cs"/>
          <w:sz w:val="26"/>
          <w:szCs w:val="26"/>
          <w:rtl/>
        </w:rPr>
        <w:t>:</w:t>
      </w:r>
      <w:r>
        <w:rPr>
          <w:rFonts w:ascii="David" w:hAnsi="David" w:cs="David"/>
          <w:sz w:val="26"/>
          <w:szCs w:val="26"/>
          <w:rtl/>
        </w:rPr>
        <w:t xml:space="preserve"> </w:t>
      </w:r>
      <w:r>
        <w:rPr>
          <w:rFonts w:ascii="David" w:hAnsi="David" w:cs="David" w:hint="cs"/>
          <w:sz w:val="26"/>
          <w:szCs w:val="26"/>
          <w:rtl/>
        </w:rPr>
        <w:t xml:space="preserve">ההחלטה </w:t>
      </w:r>
      <w:r>
        <w:rPr>
          <w:rFonts w:ascii="David" w:hAnsi="David" w:cs="David"/>
          <w:sz w:val="26"/>
          <w:szCs w:val="26"/>
          <w:rtl/>
        </w:rPr>
        <w:t>הראשונה</w:t>
      </w:r>
      <w:r>
        <w:rPr>
          <w:rFonts w:ascii="David" w:hAnsi="David" w:cs="David" w:hint="cs"/>
          <w:sz w:val="26"/>
          <w:szCs w:val="26"/>
          <w:rtl/>
        </w:rPr>
        <w:t xml:space="preserve"> ניתנה</w:t>
      </w:r>
      <w:r>
        <w:rPr>
          <w:rFonts w:ascii="David" w:hAnsi="David" w:cs="David"/>
          <w:sz w:val="26"/>
          <w:szCs w:val="26"/>
          <w:rtl/>
        </w:rPr>
        <w:t xml:space="preserve"> ביום 20.3.2022, ו</w:t>
      </w:r>
      <w:r>
        <w:rPr>
          <w:rFonts w:ascii="David" w:hAnsi="David" w:cs="David" w:hint="cs"/>
          <w:sz w:val="26"/>
          <w:szCs w:val="26"/>
          <w:rtl/>
        </w:rPr>
        <w:t xml:space="preserve">ההחלטה </w:t>
      </w:r>
      <w:r>
        <w:rPr>
          <w:rFonts w:ascii="David" w:hAnsi="David" w:cs="David"/>
          <w:sz w:val="26"/>
          <w:szCs w:val="26"/>
          <w:rtl/>
        </w:rPr>
        <w:t>השנייה</w:t>
      </w:r>
      <w:r>
        <w:rPr>
          <w:rFonts w:ascii="David" w:hAnsi="David" w:cs="David" w:hint="cs"/>
          <w:sz w:val="26"/>
          <w:szCs w:val="26"/>
          <w:rtl/>
        </w:rPr>
        <w:t xml:space="preserve"> ניתנה</w:t>
      </w:r>
      <w:r>
        <w:rPr>
          <w:rFonts w:ascii="David" w:hAnsi="David" w:cs="David"/>
          <w:sz w:val="26"/>
          <w:szCs w:val="26"/>
          <w:rtl/>
        </w:rPr>
        <w:t xml:space="preserve"> ביום 13.6.2022</w:t>
      </w:r>
      <w:r w:rsidR="00D82525">
        <w:rPr>
          <w:rFonts w:ascii="David" w:hAnsi="David" w:cs="David" w:hint="cs"/>
          <w:sz w:val="26"/>
          <w:szCs w:val="26"/>
          <w:rtl/>
        </w:rPr>
        <w:t>.</w:t>
      </w:r>
    </w:p>
    <w:p w:rsidR="001C7F94" w:rsidRPr="00D82525" w:rsidRDefault="001C7F94" w:rsidP="00D82525">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המחלוקת העיקרית בין הצדדים נסובה על תחולת הוראות </w:t>
      </w:r>
      <w:r>
        <w:rPr>
          <w:rFonts w:ascii="David" w:hAnsi="David" w:cs="David"/>
          <w:b/>
          <w:bCs/>
          <w:sz w:val="26"/>
          <w:szCs w:val="26"/>
          <w:rtl/>
        </w:rPr>
        <w:t>חוק אזור סחר חופשי באילת (פטורים והנחות ממיסים), התשמ"ה – 1985</w:t>
      </w:r>
      <w:r>
        <w:rPr>
          <w:rFonts w:ascii="David" w:hAnsi="David" w:cs="David"/>
          <w:sz w:val="26"/>
          <w:szCs w:val="26"/>
          <w:rtl/>
        </w:rPr>
        <w:t xml:space="preserve"> (להלן- "</w:t>
      </w:r>
      <w:r>
        <w:rPr>
          <w:rFonts w:ascii="David" w:hAnsi="David" w:cs="David"/>
          <w:b/>
          <w:bCs/>
          <w:sz w:val="26"/>
          <w:szCs w:val="26"/>
          <w:rtl/>
        </w:rPr>
        <w:t>חוק אזור סחר חופשי אילת</w:t>
      </w:r>
      <w:r>
        <w:rPr>
          <w:rFonts w:ascii="David" w:hAnsi="David" w:cs="David"/>
          <w:sz w:val="26"/>
          <w:szCs w:val="26"/>
          <w:rtl/>
        </w:rPr>
        <w:t>").</w:t>
      </w:r>
    </w:p>
    <w:p w:rsidR="001C7F94" w:rsidRPr="00D82525" w:rsidRDefault="001C7F94" w:rsidP="00D82525">
      <w:pPr>
        <w:pStyle w:val="ad"/>
        <w:numPr>
          <w:ilvl w:val="0"/>
          <w:numId w:val="1"/>
        </w:numPr>
        <w:spacing w:line="360" w:lineRule="auto"/>
        <w:jc w:val="both"/>
        <w:rPr>
          <w:rFonts w:ascii="David" w:hAnsi="David" w:cs="David"/>
          <w:sz w:val="26"/>
          <w:szCs w:val="26"/>
        </w:rPr>
      </w:pPr>
      <w:r>
        <w:rPr>
          <w:rFonts w:ascii="David" w:hAnsi="David" w:cs="David"/>
          <w:sz w:val="26"/>
          <w:szCs w:val="26"/>
          <w:rtl/>
        </w:rPr>
        <w:t>תמצית טענתן של המערערות בבקשתן לקבלת הערעורים על הסף הייתה כי ההחלטות בהשגה ניתנו בחוסר סמכות, על ידי מי שלא הואצלה לו הסמכות לתיתן, ולפיכך הן בטלות. כפועל יוצא יש לטענתן לקבל את הערעורים על הסף.</w:t>
      </w:r>
    </w:p>
    <w:p w:rsidR="001C7F94" w:rsidRDefault="001C7F94" w:rsidP="001C7F94">
      <w:pPr>
        <w:pStyle w:val="ad"/>
        <w:numPr>
          <w:ilvl w:val="0"/>
          <w:numId w:val="1"/>
        </w:numPr>
        <w:spacing w:line="360" w:lineRule="auto"/>
        <w:jc w:val="both"/>
        <w:rPr>
          <w:rFonts w:ascii="David" w:hAnsi="David" w:cs="David"/>
          <w:b/>
          <w:bCs/>
          <w:sz w:val="26"/>
          <w:szCs w:val="26"/>
          <w:rtl/>
        </w:rPr>
      </w:pPr>
      <w:r>
        <w:rPr>
          <w:rFonts w:ascii="David" w:hAnsi="David" w:cs="David"/>
          <w:b/>
          <w:bCs/>
          <w:sz w:val="26"/>
          <w:szCs w:val="26"/>
          <w:rtl/>
        </w:rPr>
        <w:t>אקדים ואציין כי לאחר עיון בטענות הצדדים מצאתי שיש לדחות את הבקשה.</w:t>
      </w:r>
    </w:p>
    <w:p w:rsidR="002131D3" w:rsidRDefault="002131D3" w:rsidP="001C7F94">
      <w:pPr>
        <w:spacing w:line="360" w:lineRule="auto"/>
        <w:jc w:val="both"/>
        <w:rPr>
          <w:rFonts w:ascii="David" w:hAnsi="David"/>
          <w:b/>
          <w:bCs/>
          <w:sz w:val="26"/>
          <w:szCs w:val="26"/>
          <w:u w:val="single"/>
          <w:rtl/>
        </w:rPr>
      </w:pPr>
    </w:p>
    <w:p w:rsidR="001C7F94" w:rsidRDefault="001C7F94" w:rsidP="001C7F94">
      <w:pPr>
        <w:spacing w:line="360" w:lineRule="auto"/>
        <w:jc w:val="both"/>
        <w:rPr>
          <w:rFonts w:ascii="David" w:hAnsi="David"/>
          <w:b/>
          <w:bCs/>
          <w:sz w:val="26"/>
          <w:szCs w:val="26"/>
          <w:u w:val="single"/>
          <w:rtl/>
        </w:rPr>
      </w:pPr>
      <w:r>
        <w:rPr>
          <w:rFonts w:ascii="David" w:hAnsi="David"/>
          <w:b/>
          <w:bCs/>
          <w:sz w:val="26"/>
          <w:szCs w:val="26"/>
          <w:u w:val="single"/>
          <w:rtl/>
        </w:rPr>
        <w:t>הבקשה</w:t>
      </w:r>
    </w:p>
    <w:p w:rsidR="002131D3" w:rsidRDefault="002131D3" w:rsidP="001C7F94">
      <w:pPr>
        <w:spacing w:line="360" w:lineRule="auto"/>
        <w:jc w:val="both"/>
        <w:rPr>
          <w:rFonts w:ascii="David" w:hAnsi="David"/>
          <w:b/>
          <w:bCs/>
          <w:sz w:val="26"/>
          <w:szCs w:val="26"/>
          <w:u w:val="single"/>
          <w:rtl/>
        </w:rPr>
      </w:pPr>
    </w:p>
    <w:p w:rsidR="001C7F94" w:rsidRPr="00D82525" w:rsidRDefault="001C7F94" w:rsidP="00D82525">
      <w:pPr>
        <w:pStyle w:val="ad"/>
        <w:numPr>
          <w:ilvl w:val="0"/>
          <w:numId w:val="1"/>
        </w:numPr>
        <w:spacing w:line="360" w:lineRule="auto"/>
        <w:jc w:val="both"/>
        <w:rPr>
          <w:rFonts w:ascii="David" w:hAnsi="David" w:cs="David"/>
          <w:sz w:val="26"/>
          <w:szCs w:val="26"/>
        </w:rPr>
      </w:pPr>
      <w:r>
        <w:rPr>
          <w:rFonts w:ascii="David" w:hAnsi="David" w:cs="David"/>
          <w:sz w:val="26"/>
          <w:szCs w:val="26"/>
          <w:rtl/>
        </w:rPr>
        <w:lastRenderedPageBreak/>
        <w:t>לטענת המערערות ניתנו ההחלטות בהשג</w:t>
      </w:r>
      <w:r>
        <w:rPr>
          <w:rFonts w:ascii="David" w:hAnsi="David" w:cs="David" w:hint="cs"/>
          <w:sz w:val="26"/>
          <w:szCs w:val="26"/>
          <w:rtl/>
        </w:rPr>
        <w:t>ות</w:t>
      </w:r>
      <w:r>
        <w:rPr>
          <w:rFonts w:ascii="David" w:hAnsi="David" w:cs="David"/>
          <w:sz w:val="26"/>
          <w:szCs w:val="26"/>
          <w:rtl/>
        </w:rPr>
        <w:t xml:space="preserve"> נושא הערעורים </w:t>
      </w:r>
      <w:r>
        <w:rPr>
          <w:rFonts w:ascii="David" w:hAnsi="David" w:cs="David" w:hint="cs"/>
          <w:sz w:val="26"/>
          <w:szCs w:val="26"/>
          <w:rtl/>
        </w:rPr>
        <w:t xml:space="preserve">שלפני </w:t>
      </w:r>
      <w:r>
        <w:rPr>
          <w:rFonts w:ascii="David" w:hAnsi="David" w:cs="David"/>
          <w:sz w:val="26"/>
          <w:szCs w:val="26"/>
          <w:rtl/>
        </w:rPr>
        <w:t>בחוסר סמכות</w:t>
      </w:r>
      <w:r>
        <w:rPr>
          <w:rFonts w:ascii="David" w:hAnsi="David" w:cs="David" w:hint="cs"/>
          <w:sz w:val="26"/>
          <w:szCs w:val="26"/>
          <w:rtl/>
        </w:rPr>
        <w:t>.</w:t>
      </w:r>
      <w:r>
        <w:rPr>
          <w:rFonts w:ascii="David" w:hAnsi="David" w:cs="David"/>
          <w:sz w:val="26"/>
          <w:szCs w:val="26"/>
          <w:rtl/>
        </w:rPr>
        <w:t xml:space="preserve"> שתי ההחלטות ניתנו על ידי רו"ח רום רצון (להלן – </w:t>
      </w:r>
      <w:r>
        <w:rPr>
          <w:rFonts w:ascii="David" w:hAnsi="David" w:cs="David"/>
          <w:b/>
          <w:bCs/>
          <w:sz w:val="26"/>
          <w:szCs w:val="26"/>
          <w:rtl/>
        </w:rPr>
        <w:t>"המחליט בהשגה"</w:t>
      </w:r>
      <w:r>
        <w:rPr>
          <w:rFonts w:ascii="David" w:hAnsi="David" w:cs="David"/>
          <w:sz w:val="26"/>
          <w:szCs w:val="26"/>
          <w:rtl/>
        </w:rPr>
        <w:t xml:space="preserve">), לאחר שביום 3.3.2022 החל לכהן בתפקיד של </w:t>
      </w:r>
      <w:r w:rsidRPr="00D82525">
        <w:rPr>
          <w:rFonts w:ascii="David" w:hAnsi="David" w:cs="David"/>
          <w:b/>
          <w:bCs/>
          <w:sz w:val="26"/>
          <w:szCs w:val="26"/>
          <w:rtl/>
        </w:rPr>
        <w:t>סגן בכיר לממונה אזורי במשרד מע"מ אשדוד.</w:t>
      </w:r>
      <w:r>
        <w:rPr>
          <w:rFonts w:ascii="David" w:hAnsi="David" w:cs="David"/>
          <w:sz w:val="26"/>
          <w:szCs w:val="26"/>
          <w:rtl/>
        </w:rPr>
        <w:t xml:space="preserve"> </w:t>
      </w:r>
      <w:r w:rsidR="00D82525">
        <w:rPr>
          <w:rFonts w:ascii="David" w:hAnsi="David" w:cs="David" w:hint="cs"/>
          <w:sz w:val="26"/>
          <w:szCs w:val="26"/>
          <w:rtl/>
        </w:rPr>
        <w:t xml:space="preserve">נטען כי </w:t>
      </w:r>
      <w:r>
        <w:rPr>
          <w:rFonts w:ascii="David" w:hAnsi="David" w:cs="David"/>
          <w:sz w:val="26"/>
          <w:szCs w:val="26"/>
          <w:rtl/>
        </w:rPr>
        <w:t xml:space="preserve">במועד מתן ההחלטות בהשגה לא היה רו"ח רצון מוסמך לתת את ההחלטות. </w:t>
      </w:r>
    </w:p>
    <w:p w:rsidR="001C7F94" w:rsidRPr="00D82525" w:rsidRDefault="001C7F94" w:rsidP="00D82525">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בבקשה פורט כי בהתאם לסעיף 107(א) בחוק מס ערך מוסף </w:t>
      </w:r>
      <w:r>
        <w:rPr>
          <w:rFonts w:ascii="David" w:hAnsi="David" w:cs="David"/>
          <w:b/>
          <w:bCs/>
          <w:sz w:val="26"/>
          <w:szCs w:val="26"/>
          <w:rtl/>
        </w:rPr>
        <w:t>"הנהלת המס תהיה בידי המנהל ורשאי הוא לאצול מסמכויותיו, פרט לסמכויות מכוח סעיפים 30, 109, 112(א)(1), 113(א)(1) ו- 140"</w:t>
      </w:r>
      <w:r>
        <w:rPr>
          <w:rFonts w:ascii="David" w:hAnsi="David" w:cs="David"/>
          <w:sz w:val="26"/>
          <w:szCs w:val="26"/>
          <w:rtl/>
        </w:rPr>
        <w:t>. עוד פורט כי בהתאם להוראת סעיף 107 (ג) בחוק מס ערך מוסף "</w:t>
      </w:r>
      <w:r>
        <w:rPr>
          <w:rFonts w:ascii="David" w:hAnsi="David" w:cs="David"/>
          <w:b/>
          <w:bCs/>
          <w:sz w:val="26"/>
          <w:szCs w:val="26"/>
          <w:rtl/>
        </w:rPr>
        <w:t>אצילת סמכויות על-פי סעיפים 61, 77, 79,  82, 91, 95, 108(ב), 112 (א) (2), 113, 114 או 115, טעונה פרסום ברשומות</w:t>
      </w:r>
      <w:r>
        <w:rPr>
          <w:rFonts w:ascii="David" w:hAnsi="David" w:cs="David"/>
          <w:sz w:val="26"/>
          <w:szCs w:val="26"/>
          <w:rtl/>
        </w:rPr>
        <w:t xml:space="preserve">".  </w:t>
      </w:r>
    </w:p>
    <w:p w:rsidR="001C7F94" w:rsidRDefault="001C7F94" w:rsidP="001C7F94">
      <w:pPr>
        <w:pStyle w:val="ad"/>
        <w:numPr>
          <w:ilvl w:val="0"/>
          <w:numId w:val="1"/>
        </w:numPr>
        <w:spacing w:line="360" w:lineRule="auto"/>
        <w:jc w:val="both"/>
        <w:rPr>
          <w:rFonts w:ascii="David" w:hAnsi="David" w:cs="David"/>
          <w:sz w:val="26"/>
          <w:szCs w:val="26"/>
          <w:rtl/>
        </w:rPr>
      </w:pPr>
      <w:r>
        <w:rPr>
          <w:rFonts w:ascii="David" w:hAnsi="David" w:cs="David"/>
          <w:sz w:val="26"/>
          <w:szCs w:val="26"/>
          <w:rtl/>
        </w:rPr>
        <w:t xml:space="preserve">לטענת המערערות לא הואצלו סמכויות המנהל לרו"ח רצון בשל שני טעמים: </w:t>
      </w:r>
      <w:r>
        <w:rPr>
          <w:rFonts w:ascii="David" w:hAnsi="David" w:cs="David"/>
          <w:b/>
          <w:bCs/>
          <w:sz w:val="26"/>
          <w:szCs w:val="26"/>
          <w:rtl/>
        </w:rPr>
        <w:t xml:space="preserve">ראשית, </w:t>
      </w:r>
      <w:r>
        <w:rPr>
          <w:rFonts w:ascii="David" w:hAnsi="David" w:cs="David"/>
          <w:sz w:val="26"/>
          <w:szCs w:val="26"/>
          <w:rtl/>
        </w:rPr>
        <w:t xml:space="preserve">האצלת הסמכויות למתן החלטות לפי סעיף 82 בחוק מס ערך מוסף נעשתה על ידי מנהל המכס והמע"מ, ולא על ידי מנהל רשות המסים, ועל כן היא אינה בתוקף לאחר שבמסגרת תיקון 29 בחוק מס ערך מוסף, הועברו סמכויותיו של מנהל המכס ומע"מ למנהל רשות המיסים. בהעדר אצילת סמכויות חדשה מטעם מנהל רשות המסים, ופרסומה ברשומות, אין תוקף לאצילת סמכויות שנעשתה על ידי מנהל מכס ומע"מ; </w:t>
      </w:r>
      <w:r>
        <w:rPr>
          <w:rFonts w:ascii="David" w:hAnsi="David" w:cs="David"/>
          <w:b/>
          <w:bCs/>
          <w:sz w:val="26"/>
          <w:szCs w:val="26"/>
          <w:rtl/>
        </w:rPr>
        <w:t>שנית</w:t>
      </w:r>
      <w:r>
        <w:rPr>
          <w:rFonts w:ascii="David" w:hAnsi="David" w:cs="David"/>
          <w:sz w:val="26"/>
          <w:szCs w:val="26"/>
          <w:rtl/>
        </w:rPr>
        <w:t xml:space="preserve">, אצילת הסמכויות שנעשתה על ידי מנהל מכס ומע"מ בשנת 1989, הייתה </w:t>
      </w:r>
      <w:r>
        <w:rPr>
          <w:rFonts w:ascii="David" w:hAnsi="David" w:cs="David"/>
          <w:b/>
          <w:bCs/>
          <w:sz w:val="26"/>
          <w:szCs w:val="26"/>
          <w:rtl/>
        </w:rPr>
        <w:t xml:space="preserve">לסגן ממונה אזורי </w:t>
      </w:r>
      <w:r>
        <w:rPr>
          <w:rFonts w:ascii="David" w:hAnsi="David" w:cs="David"/>
          <w:sz w:val="26"/>
          <w:szCs w:val="26"/>
          <w:rtl/>
        </w:rPr>
        <w:t xml:space="preserve">ולא </w:t>
      </w:r>
      <w:r>
        <w:rPr>
          <w:rFonts w:ascii="David" w:hAnsi="David" w:cs="David"/>
          <w:b/>
          <w:bCs/>
          <w:sz w:val="26"/>
          <w:szCs w:val="26"/>
          <w:rtl/>
        </w:rPr>
        <w:t>לסגן בכיר לממונה אזורי</w:t>
      </w:r>
      <w:r>
        <w:rPr>
          <w:rFonts w:ascii="David" w:hAnsi="David" w:cs="David"/>
          <w:sz w:val="26"/>
          <w:szCs w:val="26"/>
          <w:rtl/>
        </w:rPr>
        <w:t xml:space="preserve">, התפקיד שאותו ממלא רו"ח רצון. פורט כי רק ביום 27.2.2023, כשבועיים לאחר הגשת כתבי התשובה בערעורים שבכותרת, האציל מנהל רשות המיסים את סמכותו לפי סעיף 82 בחוק מס ערך מוסף לסגן בכיר ממונה אזורי (פורסם בי"פ 11167, י"ד באדר התשפ"ג, 7.3.2023) . </w:t>
      </w:r>
    </w:p>
    <w:p w:rsidR="001C7F94" w:rsidRDefault="001C7F94" w:rsidP="001C7F94">
      <w:pPr>
        <w:pStyle w:val="ad"/>
        <w:numPr>
          <w:ilvl w:val="0"/>
          <w:numId w:val="1"/>
        </w:numPr>
        <w:spacing w:line="360" w:lineRule="auto"/>
        <w:jc w:val="both"/>
        <w:rPr>
          <w:rFonts w:ascii="David" w:hAnsi="David" w:cs="David"/>
          <w:sz w:val="26"/>
          <w:szCs w:val="26"/>
          <w:rtl/>
        </w:rPr>
      </w:pPr>
      <w:r>
        <w:rPr>
          <w:rFonts w:ascii="David" w:hAnsi="David" w:cs="David"/>
          <w:sz w:val="26"/>
          <w:szCs w:val="26"/>
          <w:rtl/>
        </w:rPr>
        <w:t>המערערות הוסיפו וטענו כי  מדובר בפגם הנמצא ברף הגבוה של מנעד הפגמים</w:t>
      </w:r>
      <w:r w:rsidR="00D82525">
        <w:rPr>
          <w:rFonts w:ascii="David" w:hAnsi="David" w:cs="David" w:hint="cs"/>
          <w:sz w:val="26"/>
          <w:szCs w:val="26"/>
          <w:rtl/>
        </w:rPr>
        <w:t>,</w:t>
      </w:r>
      <w:r>
        <w:rPr>
          <w:rFonts w:ascii="David" w:hAnsi="David" w:cs="David"/>
          <w:sz w:val="26"/>
          <w:szCs w:val="26"/>
          <w:rtl/>
        </w:rPr>
        <w:t xml:space="preserve"> אשר לא ניתן לרפאו במסגרת ההליך המשפטי בדומה לפגם מסוג </w:t>
      </w:r>
      <w:r>
        <w:rPr>
          <w:rFonts w:ascii="David" w:hAnsi="David" w:cs="David"/>
          <w:b/>
          <w:bCs/>
          <w:sz w:val="26"/>
          <w:szCs w:val="26"/>
          <w:rtl/>
        </w:rPr>
        <w:t>התיישנות</w:t>
      </w:r>
      <w:r>
        <w:rPr>
          <w:rFonts w:ascii="David" w:hAnsi="David" w:cs="David"/>
          <w:sz w:val="26"/>
          <w:szCs w:val="26"/>
          <w:rtl/>
        </w:rPr>
        <w:t xml:space="preserve"> ולהבדיל מפגם  של </w:t>
      </w:r>
      <w:r>
        <w:rPr>
          <w:rFonts w:ascii="David" w:hAnsi="David" w:cs="David"/>
          <w:b/>
          <w:bCs/>
          <w:sz w:val="26"/>
          <w:szCs w:val="26"/>
          <w:rtl/>
        </w:rPr>
        <w:t>העדר נימוק בשומה</w:t>
      </w:r>
      <w:r>
        <w:rPr>
          <w:rFonts w:ascii="David" w:hAnsi="David" w:cs="David"/>
          <w:sz w:val="26"/>
          <w:szCs w:val="26"/>
          <w:rtl/>
        </w:rPr>
        <w:t xml:space="preserve"> או </w:t>
      </w:r>
      <w:r>
        <w:rPr>
          <w:rFonts w:ascii="David" w:hAnsi="David" w:cs="David"/>
          <w:b/>
          <w:bCs/>
          <w:sz w:val="26"/>
          <w:szCs w:val="26"/>
          <w:rtl/>
        </w:rPr>
        <w:t>באי מתן זכות טיעון קודם למתן החלטה</w:t>
      </w:r>
      <w:r>
        <w:rPr>
          <w:rFonts w:ascii="David" w:hAnsi="David" w:cs="David"/>
          <w:sz w:val="26"/>
          <w:szCs w:val="26"/>
          <w:rtl/>
        </w:rPr>
        <w:t xml:space="preserve"> (פגמים שאותם ניתן לרפא במהלך ההליך המשפטי). מטעם זה, לא ניתן להסתפק בענייננו בבטלות יחסית אלא יש להורות על בטלות ההחלטות בהשגה.</w:t>
      </w:r>
    </w:p>
    <w:p w:rsidR="001C7F94" w:rsidRDefault="001C7F94" w:rsidP="001C7F94">
      <w:pPr>
        <w:pStyle w:val="ad"/>
        <w:rPr>
          <w:rFonts w:ascii="David" w:hAnsi="David" w:cs="David"/>
          <w:sz w:val="26"/>
          <w:szCs w:val="26"/>
        </w:rPr>
      </w:pPr>
    </w:p>
    <w:p w:rsidR="001C7F94" w:rsidRDefault="001C7F94" w:rsidP="001C7F94">
      <w:pPr>
        <w:ind w:firstLine="360"/>
        <w:rPr>
          <w:rFonts w:ascii="David" w:hAnsi="David"/>
          <w:b/>
          <w:bCs/>
          <w:sz w:val="26"/>
          <w:szCs w:val="26"/>
          <w:u w:val="single"/>
          <w:rtl/>
        </w:rPr>
      </w:pPr>
      <w:r>
        <w:rPr>
          <w:rFonts w:ascii="David" w:hAnsi="David"/>
          <w:b/>
          <w:bCs/>
          <w:sz w:val="26"/>
          <w:szCs w:val="26"/>
          <w:u w:val="single"/>
          <w:rtl/>
        </w:rPr>
        <w:t>תגובת המשיב</w:t>
      </w:r>
    </w:p>
    <w:p w:rsidR="002131D3" w:rsidRDefault="002131D3" w:rsidP="001C7F94">
      <w:pPr>
        <w:ind w:firstLine="360"/>
        <w:rPr>
          <w:rFonts w:ascii="David" w:hAnsi="David"/>
          <w:b/>
          <w:bCs/>
          <w:sz w:val="26"/>
          <w:szCs w:val="26"/>
          <w:u w:val="single"/>
          <w:rtl/>
        </w:rPr>
      </w:pPr>
    </w:p>
    <w:p w:rsidR="001C7F94" w:rsidRDefault="001C7F94" w:rsidP="001C7F94">
      <w:pPr>
        <w:pStyle w:val="ad"/>
        <w:numPr>
          <w:ilvl w:val="0"/>
          <w:numId w:val="1"/>
        </w:numPr>
        <w:spacing w:line="360" w:lineRule="auto"/>
        <w:jc w:val="both"/>
        <w:rPr>
          <w:rFonts w:ascii="David" w:hAnsi="David" w:cs="David"/>
          <w:sz w:val="26"/>
          <w:szCs w:val="26"/>
          <w:rtl/>
        </w:rPr>
      </w:pPr>
      <w:r>
        <w:rPr>
          <w:rFonts w:ascii="David" w:hAnsi="David" w:cs="David"/>
          <w:sz w:val="26"/>
          <w:szCs w:val="26"/>
          <w:rtl/>
        </w:rPr>
        <w:lastRenderedPageBreak/>
        <w:t>המשיב טען מנגד כי רו"ח רצון היה מוסמך לקבל את ההחלטות בהשגה. לחלופין, טען כי לאור כלל הבטלות היחסית, אין מקום לבטל את ההחלטות בהשגה אשר יעמדו לביקורת שיפוטית בפני בית משפט זה. הודגש כי עומדת למדינה חזקת תקינות המעשה המנהלי, והפעולות הנעשות מכוחה מוחזקות כפעולות תקינות אלא אם כן הוכח אחרת.</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המשיב הוסיף וטען כי כל סמכויותיו של מנהל מכס ומע"מ הועברו למנהל רשות המיסים בשנת 2005, במסגרת תיקון 29 לחוק מס ערך מוסף ולכן האצלת הסמכויות שנעשתה על ידי מנהל המכס ומע"מ, עודה בתוקף. </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פורט בתגובה כי בנוסחו המקורי של חוק מס ערך מוסף, הוגדר המנהל כ'מנהל המכס והבלו'. ביום 15.5.1983, שונה שם התפקיד בין היתר לעניין חוק מס ערך מוסף, והוחלף בתואר 'מנהל המכס והמע"מ' (ראו פקודת פקידי הממשלה (שינוי תארים), 1940 (להלן- </w:t>
      </w:r>
      <w:r>
        <w:rPr>
          <w:rFonts w:ascii="David" w:hAnsi="David" w:cs="David"/>
          <w:b/>
          <w:bCs/>
          <w:sz w:val="26"/>
          <w:szCs w:val="26"/>
          <w:rtl/>
        </w:rPr>
        <w:t>"פקודת שינוי תארים"</w:t>
      </w:r>
      <w:r>
        <w:rPr>
          <w:rFonts w:ascii="David" w:hAnsi="David" w:cs="David"/>
          <w:sz w:val="26"/>
          <w:szCs w:val="26"/>
          <w:rtl/>
        </w:rPr>
        <w:t xml:space="preserve">) (ק"ת, התשמ"ג מספר 4502 מיום 12.6.1983,  עמוד 1531.  </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עוד פורט בתגובה כי בהתאם ל</w:t>
      </w:r>
      <w:r>
        <w:rPr>
          <w:rFonts w:ascii="David" w:hAnsi="David" w:cs="David"/>
          <w:b/>
          <w:bCs/>
          <w:sz w:val="26"/>
          <w:szCs w:val="26"/>
          <w:rtl/>
        </w:rPr>
        <w:t xml:space="preserve">"הודעה על אצילת סמכויות והסמכות לפי חוק מס ערך מוסף, התשל"ו -1975" </w:t>
      </w:r>
      <w:r>
        <w:rPr>
          <w:rFonts w:ascii="David" w:hAnsi="David" w:cs="David"/>
          <w:sz w:val="26"/>
          <w:szCs w:val="26"/>
          <w:rtl/>
        </w:rPr>
        <w:t xml:space="preserve">מיום 14.6.1989,  הוסמכו על ידי מנהל המכס ומע"מ שורה של בעלי תפקידים, ובניהם הואצלה הסמכות לדון בהשגות, לפי סעיף 82 בחוק מס ערך מוסף, </w:t>
      </w:r>
      <w:r w:rsidRPr="00D82525">
        <w:rPr>
          <w:rFonts w:ascii="David" w:hAnsi="David" w:cs="David"/>
          <w:b/>
          <w:bCs/>
          <w:sz w:val="26"/>
          <w:szCs w:val="26"/>
          <w:rtl/>
        </w:rPr>
        <w:t>ל'סגן ממונה אזורי'</w:t>
      </w:r>
      <w:r>
        <w:rPr>
          <w:rFonts w:ascii="David" w:hAnsi="David" w:cs="David"/>
          <w:sz w:val="26"/>
          <w:szCs w:val="26"/>
          <w:rtl/>
        </w:rPr>
        <w:t>.</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המשיב ביאר בתגובה כי במסגרת החלטת ממשלה הוחלט לאחד את ניהול גביית המיסים תחת מנהל ראשי אחד, איחוד שנכנס לתוקף ביום 1.9.2004 ומתוקפו מונה לעמוד בראש הרשות, מנהל שתוארו 'מנהל רשות המיסים'.  בעקבות זאת, שונה בפקודת שינוי תארים תואר 'מנהל מכס ומע"מ</w:t>
      </w:r>
      <w:r w:rsidR="00D82525">
        <w:rPr>
          <w:rFonts w:ascii="David" w:hAnsi="David" w:cs="David" w:hint="cs"/>
          <w:sz w:val="26"/>
          <w:szCs w:val="26"/>
          <w:rtl/>
        </w:rPr>
        <w:t>'</w:t>
      </w:r>
      <w:r>
        <w:rPr>
          <w:rFonts w:ascii="David" w:hAnsi="David" w:cs="David"/>
          <w:sz w:val="26"/>
          <w:szCs w:val="26"/>
          <w:rtl/>
        </w:rPr>
        <w:t>, ל'מנהל רשות המיסים בישראל' (הודעה מיום 19.9.2004 אשר פורסמה בק"ת תשס"ה מס' 6341, מיום 23.9.2004, עמוד 40 – הודעה תשס"ה 2004 אשר תחילה ביום 1.9.2004).</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בעקבות תיקון זה שונתה הגדרת "המנהל" גם בחוק מס ערך מוסף, במסגרת תיקון 29 בחוק מס ערך מוסף, מ'מנהל המכס והבלו' ל-</w:t>
      </w:r>
      <w:r>
        <w:rPr>
          <w:rFonts w:ascii="David" w:hAnsi="David" w:cs="David"/>
          <w:b/>
          <w:bCs/>
          <w:sz w:val="26"/>
          <w:szCs w:val="26"/>
          <w:rtl/>
        </w:rPr>
        <w:t xml:space="preserve"> "המנהל – כהגדרתו בסעיף 1 לפקודת מס הכנסה"</w:t>
      </w:r>
      <w:r>
        <w:rPr>
          <w:rFonts w:ascii="David" w:hAnsi="David" w:cs="David"/>
          <w:sz w:val="26"/>
          <w:szCs w:val="26"/>
          <w:rtl/>
        </w:rPr>
        <w:t xml:space="preserve">. פקודת מס הכנסה תוקנה קודם לכן, ביום 30.12.2004, והגדרת 'נציב מס הכנסה' שונתה ל'מנהל'. </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המשיב טען כי מאחר ש'מנהל רשות המיסים' נכנס בנעליו של 'מנהל מכס ומע"מ' עם הקמת רשות המיסים בשנת 2004, נותרה על כנה האצלת הסמכויות שנעשתה על ידי מנהל המכס ומע"מ משנת 1989, ולא היה צורך בהאצלת סמכויות חדשה.</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lastRenderedPageBreak/>
        <w:t xml:space="preserve">אשר להסמכה </w:t>
      </w:r>
      <w:r w:rsidRPr="00D82525">
        <w:rPr>
          <w:rFonts w:ascii="David" w:hAnsi="David" w:cs="David"/>
          <w:b/>
          <w:bCs/>
          <w:sz w:val="26"/>
          <w:szCs w:val="26"/>
          <w:rtl/>
        </w:rPr>
        <w:t>ל'סגן בכיר לממונה אזורי'</w:t>
      </w:r>
      <w:r>
        <w:rPr>
          <w:rFonts w:ascii="David" w:hAnsi="David" w:cs="David"/>
          <w:sz w:val="26"/>
          <w:szCs w:val="26"/>
          <w:rtl/>
        </w:rPr>
        <w:t xml:space="preserve"> לדון בהשגות לפי סעיף 82 בחוק מס ערך מוסף, טען המשיב כי התפקידים של 'סגן ממונה אזורי' ו'סגן בכיר לממונה אזורי' הם תפקידים זהים במהותם, ועל כן לא נדרשה האצלת סמכויות נוספת לסגן ממונה בכיר אזורי מעבר להאצלת הסמכויות שנערכה בשנת 1989. </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פורט כי בין השנים 88 עד 96, נקרא בעל התפקיד </w:t>
      </w:r>
      <w:r>
        <w:rPr>
          <w:rFonts w:ascii="David" w:hAnsi="David" w:cs="David"/>
          <w:b/>
          <w:bCs/>
          <w:sz w:val="26"/>
          <w:szCs w:val="26"/>
          <w:rtl/>
        </w:rPr>
        <w:t>"סגן ממונה אזורי מע"מ"</w:t>
      </w:r>
      <w:r>
        <w:rPr>
          <w:rFonts w:ascii="David" w:hAnsi="David" w:cs="David"/>
          <w:sz w:val="26"/>
          <w:szCs w:val="26"/>
          <w:rtl/>
        </w:rPr>
        <w:t>; בשנת 96, שונה שם התפקיד ל</w:t>
      </w:r>
      <w:r>
        <w:rPr>
          <w:rFonts w:ascii="David" w:hAnsi="David" w:cs="David"/>
          <w:b/>
          <w:bCs/>
          <w:sz w:val="26"/>
          <w:szCs w:val="26"/>
          <w:rtl/>
        </w:rPr>
        <w:t>"סגן בכיר לממונה אזורי מע"מ"</w:t>
      </w:r>
      <w:r>
        <w:rPr>
          <w:rFonts w:ascii="David" w:hAnsi="David" w:cs="David"/>
          <w:sz w:val="26"/>
          <w:szCs w:val="26"/>
          <w:rtl/>
        </w:rPr>
        <w:t>; והחל ביום 1.12.2020, שונה שם בעל התפקיד ל</w:t>
      </w:r>
      <w:r>
        <w:rPr>
          <w:rFonts w:ascii="David" w:hAnsi="David" w:cs="David"/>
          <w:b/>
          <w:bCs/>
          <w:sz w:val="26"/>
          <w:szCs w:val="26"/>
          <w:rtl/>
        </w:rPr>
        <w:t>"סגן/ית בכיר/ה לממונה אזורי/ת מע"מ</w:t>
      </w:r>
      <w:r>
        <w:rPr>
          <w:rFonts w:ascii="David" w:hAnsi="David" w:cs="David"/>
          <w:sz w:val="26"/>
          <w:szCs w:val="26"/>
          <w:rtl/>
        </w:rPr>
        <w:t>". פורט בתגובה כי בהתאם למבנה הארגוני של יחידת מע"מ אזורית, כפי שאושר על ידי גורמים רלוונטיים בנציבות שירות המדינה, תחת ממונה אזורי מכהן "</w:t>
      </w:r>
      <w:r>
        <w:rPr>
          <w:rFonts w:ascii="David" w:hAnsi="David" w:cs="David"/>
          <w:b/>
          <w:bCs/>
          <w:sz w:val="26"/>
          <w:szCs w:val="26"/>
          <w:rtl/>
        </w:rPr>
        <w:t xml:space="preserve">סגן בכיר לממונה אזורי" </w:t>
      </w:r>
      <w:r>
        <w:rPr>
          <w:rFonts w:ascii="David" w:hAnsi="David" w:cs="David"/>
          <w:sz w:val="26"/>
          <w:szCs w:val="26"/>
          <w:rtl/>
        </w:rPr>
        <w:t xml:space="preserve">במתח דרגות 41 עד 43 בדירוג המח"ר. במצב דברים זה, נכון להיום לא קיימת משרה של סגן ממונה אזורי מע"מ שאינו בכיר. התואר בכיר שנוסף לתפקיד סגן הממונה, אינו מגדיר תקן נפרד או חדש אלא מהווה שינוי שם אשר אינו משנה דבר במהות התפקיד.  מי שהיה בעבר </w:t>
      </w:r>
      <w:r>
        <w:rPr>
          <w:rFonts w:ascii="David" w:hAnsi="David" w:cs="David"/>
          <w:b/>
          <w:bCs/>
          <w:sz w:val="26"/>
          <w:szCs w:val="26"/>
          <w:rtl/>
        </w:rPr>
        <w:t>סגן</w:t>
      </w:r>
      <w:r>
        <w:rPr>
          <w:rFonts w:ascii="David" w:hAnsi="David" w:cs="David"/>
          <w:sz w:val="26"/>
          <w:szCs w:val="26"/>
          <w:rtl/>
        </w:rPr>
        <w:t xml:space="preserve"> ולאחר מכן </w:t>
      </w:r>
      <w:r>
        <w:rPr>
          <w:rFonts w:ascii="David" w:hAnsi="David" w:cs="David"/>
          <w:b/>
          <w:bCs/>
          <w:sz w:val="26"/>
          <w:szCs w:val="26"/>
          <w:rtl/>
        </w:rPr>
        <w:t>סגן בכיר</w:t>
      </w:r>
      <w:r>
        <w:rPr>
          <w:rFonts w:ascii="David" w:hAnsi="David" w:cs="David"/>
          <w:sz w:val="26"/>
          <w:szCs w:val="26"/>
          <w:rtl/>
        </w:rPr>
        <w:t>, מבצע תפקיד אחד, שהוא סגנו של הממונה האזורי בתחנת מע"מ. לפיכך, מבחינה מהותית אין בהוספת המילה "</w:t>
      </w:r>
      <w:r>
        <w:rPr>
          <w:rFonts w:ascii="David" w:hAnsi="David" w:cs="David"/>
          <w:b/>
          <w:bCs/>
          <w:sz w:val="26"/>
          <w:szCs w:val="26"/>
          <w:rtl/>
        </w:rPr>
        <w:t>בכיר</w:t>
      </w:r>
      <w:r>
        <w:rPr>
          <w:rFonts w:ascii="David" w:hAnsi="David" w:cs="David"/>
          <w:sz w:val="26"/>
          <w:szCs w:val="26"/>
          <w:rtl/>
        </w:rPr>
        <w:t xml:space="preserve">" כדי לשנות את הסמכות. צוין כי קוד העיסוק 50028877  מלווה את הסגנים על כל תחלופת שמותיהם. </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המשיב צירף לתגובתו תעודת עובד ציבור של מנהל אגף א' משאבי אנוש לשם תמיכה בתיאור האמור.</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לחילופין טען המנהל, כי עיון בהסמכות שנעשו בגדרה של האצלת הסמכויות משנת 1989, מגלה כי האצלת הסמכויות נעשתה ל'סגן ממונה אזורי' ול'ממונה אזורי'. מכאן שככל שסגן 'רגיל' מוסמך ליתן את ההחלטה, קל וחומר שגם סגן 'בכיר' מוסמך לתיתה, שכן מדובר בתפקיד הנמצא בין שני הקצוות של התפקידים האמורים. </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באשר להאצלת הסמכויות משנת 2023, לסגן בכיר לממונה אזורי מע"מ, נטען כי האצלת סמכות זו נעשתה למען הזהירות בלבד, וכל מטרתה הייתה לדייק את שם תפקיד הסגן, ובכך להסיר ספק ולמנוע אי הבנה. הודגש כי הסמכה זו נעשתה ללא קשר להליכים בתיק זה.</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לחילופין טען המנהל, למען הזהירות, כי לאור תורת הבטלות היחסית אין מקום לבטל את ההחלטות שניתנו בהשגות בעניינן של המערערות. הודגש כי הגורם </w:t>
      </w:r>
      <w:r>
        <w:rPr>
          <w:rFonts w:ascii="David" w:hAnsi="David" w:cs="David"/>
          <w:sz w:val="26"/>
          <w:szCs w:val="26"/>
          <w:rtl/>
        </w:rPr>
        <w:lastRenderedPageBreak/>
        <w:t>המסמיך הוא הגורם הנכון מנהל רשות המיסים וגם דבר החקיקה הוא הנכון ועל כן אין בפגם שנטען כדי להוביל לבטלות ההחלטות.</w:t>
      </w:r>
    </w:p>
    <w:p w:rsidR="001B7078" w:rsidRDefault="001B7078" w:rsidP="001C7F94">
      <w:pPr>
        <w:spacing w:line="360" w:lineRule="auto"/>
        <w:ind w:left="360"/>
        <w:jc w:val="both"/>
        <w:rPr>
          <w:rFonts w:ascii="David" w:hAnsi="David"/>
          <w:b/>
          <w:bCs/>
          <w:sz w:val="26"/>
          <w:szCs w:val="26"/>
          <w:u w:val="single"/>
          <w:rtl/>
        </w:rPr>
      </w:pPr>
    </w:p>
    <w:p w:rsidR="001C7F94" w:rsidRDefault="001C7F94" w:rsidP="001C7F94">
      <w:pPr>
        <w:spacing w:line="360" w:lineRule="auto"/>
        <w:ind w:left="360"/>
        <w:jc w:val="both"/>
        <w:rPr>
          <w:rFonts w:ascii="David" w:hAnsi="David"/>
          <w:b/>
          <w:bCs/>
          <w:sz w:val="26"/>
          <w:szCs w:val="26"/>
          <w:u w:val="single"/>
          <w:rtl/>
        </w:rPr>
      </w:pPr>
      <w:r>
        <w:rPr>
          <w:rFonts w:ascii="David" w:hAnsi="David"/>
          <w:b/>
          <w:bCs/>
          <w:sz w:val="26"/>
          <w:szCs w:val="26"/>
          <w:u w:val="single"/>
          <w:rtl/>
        </w:rPr>
        <w:t>דיון והכרעה</w:t>
      </w:r>
    </w:p>
    <w:p w:rsidR="002131D3" w:rsidRDefault="002131D3" w:rsidP="001C7F94">
      <w:pPr>
        <w:spacing w:line="360" w:lineRule="auto"/>
        <w:ind w:left="360"/>
        <w:jc w:val="both"/>
        <w:rPr>
          <w:rFonts w:ascii="David" w:hAnsi="David"/>
          <w:b/>
          <w:bCs/>
          <w:sz w:val="26"/>
          <w:szCs w:val="26"/>
          <w:u w:val="single"/>
        </w:rPr>
      </w:pP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לאחר עיון בטענות הצדדים מצאתי שיש לדחות את הבקשה.</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בראש ובראשונה אציין כי שינוי תוארו של בעל הסמכות למתן החלטה בהשגה, מ'מנהל מכס ומע"מ', ל'מנהל רשות המיסים בישראל', אשר נעשה עוד בשנת 2004 בפקודת שינוי תארים, היא שינוי שם בלבד, ולא החלפת בעל התפקיד או בעל הסמכות, כך שלא היה כל צורך לבצע הסמכה מחדש רק בשל שינוי שם התואר. השימוש בפקודת שינוי התארים מעיד על כך שמדובר בשינוי טכני של שם התואר, ולא בשינוי מהותי של בעל התפקיד, ומלכתחילה נועד השימוש בהוראות פקודה זו להבטיח רציפות והמשכיות, ולמנוע צורך בהאצלת סמכויות חדשה כל אימת שנמצא טעם אדמיניסטרטיבי לשינוי השם.</w:t>
      </w:r>
    </w:p>
    <w:p w:rsidR="001C7F94" w:rsidRDefault="001C7F94" w:rsidP="001B7078">
      <w:pPr>
        <w:pStyle w:val="ad"/>
        <w:numPr>
          <w:ilvl w:val="0"/>
          <w:numId w:val="1"/>
        </w:numPr>
        <w:spacing w:line="360" w:lineRule="auto"/>
        <w:jc w:val="both"/>
        <w:rPr>
          <w:rFonts w:ascii="David" w:hAnsi="David" w:cs="David"/>
          <w:sz w:val="26"/>
          <w:szCs w:val="26"/>
        </w:rPr>
      </w:pPr>
      <w:r>
        <w:rPr>
          <w:rFonts w:ascii="David" w:hAnsi="David" w:cs="David"/>
          <w:sz w:val="26"/>
          <w:szCs w:val="26"/>
          <w:rtl/>
        </w:rPr>
        <w:t>אשר להסמכה לסגן בכיר לממונה המחוזי, הואיל והאצלת הסמכויות נעשית בנקיבת שם המשרה, ראוי לטעמי לבצע הסמכה חדשה</w:t>
      </w:r>
      <w:r w:rsidR="001B7078">
        <w:rPr>
          <w:rFonts w:ascii="David" w:hAnsi="David" w:cs="David" w:hint="cs"/>
          <w:sz w:val="26"/>
          <w:szCs w:val="26"/>
          <w:rtl/>
        </w:rPr>
        <w:t xml:space="preserve"> ומפורשת</w:t>
      </w:r>
      <w:r>
        <w:rPr>
          <w:rFonts w:ascii="David" w:hAnsi="David" w:cs="David"/>
          <w:sz w:val="26"/>
          <w:szCs w:val="26"/>
          <w:rtl/>
        </w:rPr>
        <w:t>, גם כאשר מדובר בשינוי שם המשרה (או להודיע הודעה על פי פקודת שינוי התארים), ואולם לא מצאתי שיש בהימנעות מביצוע הסמכה מ</w:t>
      </w:r>
      <w:r w:rsidR="001B7078">
        <w:rPr>
          <w:rFonts w:ascii="David" w:hAnsi="David" w:cs="David" w:hint="cs"/>
          <w:sz w:val="26"/>
          <w:szCs w:val="26"/>
          <w:rtl/>
        </w:rPr>
        <w:t>פור</w:t>
      </w:r>
      <w:r>
        <w:rPr>
          <w:rFonts w:ascii="David" w:hAnsi="David" w:cs="David"/>
          <w:sz w:val="26"/>
          <w:szCs w:val="26"/>
          <w:rtl/>
        </w:rPr>
        <w:t>שת כדי לפגוע בתוקפן של ההחלטות שניתנו בהשגה.</w:t>
      </w:r>
    </w:p>
    <w:p w:rsidR="001C7F94" w:rsidRDefault="001C7F94" w:rsidP="001C7F94">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אף שמדובר בפגם שראוי היה להימנע ממנו, לא נגרם למערערות בענייננו כל עוול בעטיו של הפגם הנטען. רו"ח רצון דן בהשגה בתחילה במסגרת תפקידו הקודם, ואין בין הצדדים מחלוקת על כך שבתפקידו הקודם היו לרו"ח רצון הכישורים למתן ההחלטה, הוא היה מוסמך לדון בהשגה וליתן בה החלטה. גם אילו היה רו"ח רצון מקודם לתפקיד שאותו הוא ממלא כעת, בשמו הקודם של התפקיד, לא הייתה כל בעיה מבחינת הכישורים או הסמכות למתן ההחלטה. </w:t>
      </w:r>
    </w:p>
    <w:p w:rsidR="001C7F94" w:rsidRPr="001B7078" w:rsidRDefault="001C7F94" w:rsidP="001B7078">
      <w:pPr>
        <w:pStyle w:val="ad"/>
        <w:numPr>
          <w:ilvl w:val="0"/>
          <w:numId w:val="1"/>
        </w:numPr>
        <w:spacing w:line="360" w:lineRule="auto"/>
        <w:jc w:val="both"/>
        <w:rPr>
          <w:rFonts w:ascii="David" w:hAnsi="David" w:cs="David"/>
          <w:sz w:val="26"/>
          <w:szCs w:val="26"/>
        </w:rPr>
      </w:pPr>
      <w:r>
        <w:rPr>
          <w:rFonts w:ascii="David" w:hAnsi="David" w:cs="David"/>
          <w:sz w:val="26"/>
          <w:szCs w:val="26"/>
          <w:rtl/>
        </w:rPr>
        <w:t xml:space="preserve">מדובר אפוא בפגם טכני, שמקורו בשינוי שם התפקיד של סגן מנהל התחנה האזורי </w:t>
      </w:r>
      <w:r>
        <w:rPr>
          <w:rFonts w:ascii="David" w:hAnsi="David" w:cs="David"/>
          <w:b/>
          <w:bCs/>
          <w:sz w:val="26"/>
          <w:szCs w:val="26"/>
          <w:rtl/>
        </w:rPr>
        <w:t>מ'סגן הממונה'</w:t>
      </w:r>
      <w:r>
        <w:rPr>
          <w:rFonts w:ascii="David" w:hAnsi="David" w:cs="David"/>
          <w:sz w:val="26"/>
          <w:szCs w:val="26"/>
          <w:rtl/>
        </w:rPr>
        <w:t xml:space="preserve"> </w:t>
      </w:r>
      <w:r w:rsidRPr="001A6FA9">
        <w:rPr>
          <w:rFonts w:ascii="David" w:hAnsi="David" w:cs="David"/>
          <w:b/>
          <w:bCs/>
          <w:sz w:val="26"/>
          <w:szCs w:val="26"/>
          <w:rtl/>
        </w:rPr>
        <w:t>ל'סגן בכיר לממונה'</w:t>
      </w:r>
      <w:r>
        <w:rPr>
          <w:rFonts w:ascii="David" w:hAnsi="David" w:cs="David"/>
          <w:sz w:val="26"/>
          <w:szCs w:val="26"/>
          <w:rtl/>
        </w:rPr>
        <w:t>. מבחינה מהותית מדובר באותו תפקיד בהיררכיה המנהלית, והשוני היחיד הוא טכני, בכינוי התפקיד, תוך הוספת המונח "בכיר" לאותו תפקיד</w:t>
      </w:r>
      <w:r w:rsidR="001B7078">
        <w:rPr>
          <w:rFonts w:ascii="David" w:hAnsi="David" w:cs="David" w:hint="cs"/>
          <w:sz w:val="26"/>
          <w:szCs w:val="26"/>
          <w:rtl/>
        </w:rPr>
        <w:t>.</w:t>
      </w:r>
      <w:r>
        <w:rPr>
          <w:rFonts w:ascii="David" w:hAnsi="David" w:cs="David"/>
          <w:sz w:val="26"/>
          <w:szCs w:val="26"/>
          <w:rtl/>
        </w:rPr>
        <w:t xml:space="preserve"> כפי שציין המשיב בצדק, 'סגן בכיר' נמצא לכאורה בשלב גבוה יותר בהיררכיה המשרדית ממי שמכהן כסגן רגיל</w:t>
      </w:r>
      <w:r w:rsidR="001B7078">
        <w:rPr>
          <w:rFonts w:ascii="David" w:hAnsi="David" w:cs="David" w:hint="cs"/>
          <w:sz w:val="26"/>
          <w:szCs w:val="26"/>
          <w:rtl/>
        </w:rPr>
        <w:t xml:space="preserve">, וגם אילו היה מדובר </w:t>
      </w:r>
      <w:r w:rsidR="001B7078">
        <w:rPr>
          <w:rFonts w:ascii="David" w:hAnsi="David" w:cs="David" w:hint="cs"/>
          <w:sz w:val="26"/>
          <w:szCs w:val="26"/>
          <w:rtl/>
        </w:rPr>
        <w:lastRenderedPageBreak/>
        <w:t>בתפקיד חדש, אין כל טעם להניח שהתפקיד המצוי בין המנהל האזורי לבין סגנו לא יקבל את אותה האצלה שמוסמך המנהל לאצול.</w:t>
      </w:r>
      <w:r w:rsidRPr="001B7078">
        <w:rPr>
          <w:rFonts w:ascii="David" w:hAnsi="David" w:cs="David"/>
          <w:sz w:val="26"/>
          <w:szCs w:val="26"/>
          <w:rtl/>
        </w:rPr>
        <w:t xml:space="preserve"> תיקון הפגם באמצעות האצלת סמכויות מסודרת למכהן במשרה בשמה החדש, גם אם נעשה באיחור, מלמד על כך שלא הייתה בענייננו הימנעות מכוונת ממתן ההאצלה, לשם שלילת הסמכה לסגן בכיר דווקא, </w:t>
      </w:r>
      <w:r w:rsidR="001B7078">
        <w:rPr>
          <w:rFonts w:ascii="David" w:hAnsi="David" w:cs="David" w:hint="cs"/>
          <w:sz w:val="26"/>
          <w:szCs w:val="26"/>
          <w:rtl/>
        </w:rPr>
        <w:t>ה</w:t>
      </w:r>
      <w:r w:rsidRPr="001B7078">
        <w:rPr>
          <w:rFonts w:ascii="David" w:hAnsi="David" w:cs="David"/>
          <w:sz w:val="26"/>
          <w:szCs w:val="26"/>
          <w:rtl/>
        </w:rPr>
        <w:t>מכהן במשרה זו דווקא, אלא שמאציל הסמכות לא סבר שיש בשינוי שם המשרה כדי לחייב בהאצלה חדשה (וראו לעניין האצלה בדיעב</w:t>
      </w:r>
      <w:r w:rsidR="001B7078">
        <w:rPr>
          <w:rFonts w:ascii="David" w:hAnsi="David" w:cs="David" w:hint="cs"/>
          <w:sz w:val="26"/>
          <w:szCs w:val="26"/>
          <w:rtl/>
        </w:rPr>
        <w:t>ד</w:t>
      </w:r>
      <w:r w:rsidRPr="001B7078">
        <w:rPr>
          <w:rFonts w:ascii="David" w:hAnsi="David" w:cs="David"/>
          <w:sz w:val="26"/>
          <w:szCs w:val="26"/>
          <w:rtl/>
        </w:rPr>
        <w:t xml:space="preserve"> למשל בג"ץ 317/05 </w:t>
      </w:r>
      <w:r w:rsidRPr="001B7078">
        <w:rPr>
          <w:rFonts w:ascii="David" w:hAnsi="David" w:cs="David"/>
          <w:b/>
          <w:bCs/>
          <w:sz w:val="26"/>
          <w:szCs w:val="26"/>
          <w:rtl/>
        </w:rPr>
        <w:t>חברת הזרע (1939) בע"מ ואח' נ' המועצה הארצית לתכנון ובניה</w:t>
      </w:r>
      <w:r w:rsidRPr="001B7078">
        <w:rPr>
          <w:rFonts w:ascii="David" w:hAnsi="David" w:cs="David"/>
          <w:sz w:val="26"/>
          <w:szCs w:val="26"/>
          <w:rtl/>
        </w:rPr>
        <w:t xml:space="preserve">,   (מיום 23.3.2011)).  </w:t>
      </w:r>
    </w:p>
    <w:p w:rsidR="001C7F94" w:rsidRDefault="001C7F94" w:rsidP="001B7078">
      <w:pPr>
        <w:pStyle w:val="ad"/>
        <w:numPr>
          <w:ilvl w:val="0"/>
          <w:numId w:val="1"/>
        </w:numPr>
        <w:spacing w:line="360" w:lineRule="auto"/>
        <w:jc w:val="both"/>
        <w:rPr>
          <w:rFonts w:ascii="David" w:hAnsi="David" w:cs="David"/>
          <w:sz w:val="26"/>
          <w:szCs w:val="26"/>
        </w:rPr>
      </w:pPr>
      <w:r>
        <w:rPr>
          <w:rFonts w:ascii="David" w:hAnsi="David" w:cs="David"/>
          <w:sz w:val="26"/>
          <w:szCs w:val="26"/>
          <w:rtl/>
        </w:rPr>
        <w:t>סעיף 135 בחוק מס ערך מוסף, אשר כותרתו "</w:t>
      </w:r>
      <w:r>
        <w:rPr>
          <w:rFonts w:ascii="David" w:hAnsi="David" w:cs="David"/>
          <w:b/>
          <w:bCs/>
          <w:sz w:val="26"/>
          <w:szCs w:val="26"/>
          <w:rtl/>
        </w:rPr>
        <w:t>פגם בפעולה אינו פוסלה</w:t>
      </w:r>
      <w:r>
        <w:rPr>
          <w:rFonts w:ascii="David" w:hAnsi="David" w:cs="David"/>
          <w:sz w:val="26"/>
          <w:szCs w:val="26"/>
          <w:rtl/>
        </w:rPr>
        <w:t>", קובע מפורשות כי "</w:t>
      </w:r>
      <w:r>
        <w:rPr>
          <w:rFonts w:ascii="David" w:hAnsi="David" w:cs="David"/>
          <w:b/>
          <w:bCs/>
          <w:sz w:val="26"/>
          <w:szCs w:val="26"/>
          <w:rtl/>
        </w:rPr>
        <w:t>כל פעולה  שנעשתה לפי חוק זה לא ייגרע תוקפה מחמת פגם בצורה, טעות או השמטה שחלו בה, אם אין בהם כדי לפגוע או להטעות</w:t>
      </w:r>
      <w:r>
        <w:rPr>
          <w:rFonts w:ascii="David" w:hAnsi="David" w:cs="David"/>
          <w:sz w:val="26"/>
          <w:szCs w:val="26"/>
          <w:rtl/>
        </w:rPr>
        <w:t>". סעיף זה נועד להבטיח יציבות</w:t>
      </w:r>
      <w:r>
        <w:rPr>
          <w:rFonts w:ascii="David" w:hAnsi="David" w:cs="David"/>
          <w:b/>
          <w:bCs/>
          <w:sz w:val="26"/>
          <w:szCs w:val="26"/>
          <w:rtl/>
        </w:rPr>
        <w:t xml:space="preserve"> </w:t>
      </w:r>
      <w:r>
        <w:rPr>
          <w:rFonts w:ascii="David" w:hAnsi="David" w:cs="David"/>
          <w:sz w:val="26"/>
          <w:szCs w:val="26"/>
          <w:rtl/>
        </w:rPr>
        <w:t xml:space="preserve">ולהגן על האינטרס הציבורי לכך שהליכים שהתקיימו והחלטות שומה שניתנו לא יהפכו לחסרי משמעות בשל פגמים טכניים, באמצעות שמירת תוקפן של החלטות למרות קיומם של פגם צורני או טעות, דוגמת הפגם בענייננו (וראו גם הוראה דומה בסעיף 159 </w:t>
      </w:r>
      <w:r w:rsidRPr="001B7078">
        <w:rPr>
          <w:rFonts w:ascii="David" w:hAnsi="David" w:cs="David"/>
          <w:b/>
          <w:bCs/>
          <w:sz w:val="26"/>
          <w:szCs w:val="26"/>
          <w:rtl/>
        </w:rPr>
        <w:t>בפקודת מס הכנסה [נוסח חדש], התשכ"א- 1961</w:t>
      </w:r>
      <w:r>
        <w:rPr>
          <w:rFonts w:ascii="David" w:hAnsi="David" w:cs="David"/>
          <w:sz w:val="26"/>
          <w:szCs w:val="26"/>
          <w:rtl/>
        </w:rPr>
        <w:t>). בוודאי שיש בהוראת הסעיף כדי להגן על תוקפ</w:t>
      </w:r>
      <w:r w:rsidR="001B7078">
        <w:rPr>
          <w:rFonts w:ascii="David" w:hAnsi="David" w:cs="David" w:hint="cs"/>
          <w:sz w:val="26"/>
          <w:szCs w:val="26"/>
          <w:rtl/>
        </w:rPr>
        <w:t>ן</w:t>
      </w:r>
      <w:r>
        <w:rPr>
          <w:rFonts w:ascii="David" w:hAnsi="David" w:cs="David"/>
          <w:sz w:val="26"/>
          <w:szCs w:val="26"/>
          <w:rtl/>
        </w:rPr>
        <w:t xml:space="preserve"> של ההחלט</w:t>
      </w:r>
      <w:r w:rsidR="001B7078">
        <w:rPr>
          <w:rFonts w:ascii="David" w:hAnsi="David" w:cs="David" w:hint="cs"/>
          <w:sz w:val="26"/>
          <w:szCs w:val="26"/>
          <w:rtl/>
        </w:rPr>
        <w:t>ות</w:t>
      </w:r>
      <w:r>
        <w:rPr>
          <w:rFonts w:ascii="David" w:hAnsi="David" w:cs="David"/>
          <w:sz w:val="26"/>
          <w:szCs w:val="26"/>
          <w:rtl/>
        </w:rPr>
        <w:t xml:space="preserve"> בהשגה, במיוחד משההחלט</w:t>
      </w:r>
      <w:r w:rsidR="001B7078">
        <w:rPr>
          <w:rFonts w:ascii="David" w:hAnsi="David" w:cs="David" w:hint="cs"/>
          <w:sz w:val="26"/>
          <w:szCs w:val="26"/>
          <w:rtl/>
        </w:rPr>
        <w:t>ות</w:t>
      </w:r>
      <w:r>
        <w:rPr>
          <w:rFonts w:ascii="David" w:hAnsi="David" w:cs="David"/>
          <w:sz w:val="26"/>
          <w:szCs w:val="26"/>
          <w:rtl/>
        </w:rPr>
        <w:t xml:space="preserve"> ניתנ</w:t>
      </w:r>
      <w:r w:rsidR="001B7078">
        <w:rPr>
          <w:rFonts w:ascii="David" w:hAnsi="David" w:cs="David" w:hint="cs"/>
          <w:sz w:val="26"/>
          <w:szCs w:val="26"/>
          <w:rtl/>
        </w:rPr>
        <w:t>ו</w:t>
      </w:r>
      <w:r>
        <w:rPr>
          <w:rFonts w:ascii="David" w:hAnsi="David" w:cs="David"/>
          <w:sz w:val="26"/>
          <w:szCs w:val="26"/>
          <w:rtl/>
        </w:rPr>
        <w:t xml:space="preserve"> על ידי בעל הכישורים לדון בה</w:t>
      </w:r>
      <w:r w:rsidR="001B7078">
        <w:rPr>
          <w:rFonts w:ascii="David" w:hAnsi="David" w:cs="David" w:hint="cs"/>
          <w:sz w:val="26"/>
          <w:szCs w:val="26"/>
          <w:rtl/>
        </w:rPr>
        <w:t>ן</w:t>
      </w:r>
      <w:r>
        <w:rPr>
          <w:rFonts w:ascii="David" w:hAnsi="David" w:cs="David"/>
          <w:sz w:val="26"/>
          <w:szCs w:val="26"/>
          <w:rtl/>
        </w:rPr>
        <w:t xml:space="preserve"> ולתית</w:t>
      </w:r>
      <w:r w:rsidR="001B7078">
        <w:rPr>
          <w:rFonts w:ascii="David" w:hAnsi="David" w:cs="David" w:hint="cs"/>
          <w:sz w:val="26"/>
          <w:szCs w:val="26"/>
          <w:rtl/>
        </w:rPr>
        <w:t>ן</w:t>
      </w:r>
      <w:r>
        <w:rPr>
          <w:rFonts w:ascii="David" w:hAnsi="David" w:cs="David"/>
          <w:sz w:val="26"/>
          <w:szCs w:val="26"/>
          <w:rtl/>
        </w:rPr>
        <w:t xml:space="preserve">, ובנסיבות שבהן הייתה סמכות להאציל את הסמכות לבעל התפקיד, והפגם נוצר בשל שינויים שאירעו ברבות השנים בשם המשרה.   </w:t>
      </w:r>
    </w:p>
    <w:p w:rsidR="001C7F94" w:rsidRDefault="001C7F94" w:rsidP="001A6FA9">
      <w:pPr>
        <w:pStyle w:val="ad"/>
        <w:numPr>
          <w:ilvl w:val="0"/>
          <w:numId w:val="1"/>
        </w:numPr>
        <w:spacing w:line="360" w:lineRule="auto"/>
        <w:jc w:val="both"/>
        <w:rPr>
          <w:rFonts w:ascii="David" w:hAnsi="David" w:cs="David"/>
          <w:sz w:val="26"/>
          <w:szCs w:val="26"/>
        </w:rPr>
      </w:pPr>
      <w:r>
        <w:rPr>
          <w:rFonts w:ascii="David" w:hAnsi="David" w:cs="David"/>
          <w:sz w:val="26"/>
          <w:szCs w:val="26"/>
          <w:rtl/>
        </w:rPr>
        <w:t>זאת ועוד, לאור עקרון הבטלות היחסית "</w:t>
      </w:r>
      <w:r>
        <w:rPr>
          <w:rFonts w:ascii="David" w:hAnsi="David" w:cs="David"/>
          <w:b/>
          <w:bCs/>
          <w:sz w:val="26"/>
          <w:szCs w:val="26"/>
          <w:rtl/>
        </w:rPr>
        <w:t>יש להבחין ולהפריד בין הפגם לבין נפקותו</w:t>
      </w:r>
      <w:r>
        <w:rPr>
          <w:rFonts w:ascii="David" w:hAnsi="David" w:cs="David"/>
          <w:sz w:val="26"/>
          <w:szCs w:val="26"/>
          <w:rtl/>
        </w:rPr>
        <w:t xml:space="preserve">". לא כל פגם שנפל במעשה המנהלי מחייב את בטלות המעשה, ומשלא הוכח כי נגרם עוול בעטיו של הפגם,  נעשית טענת הפגם פורמלית, ואף שעדיין יש לטענה זו משקל, הרי שמשקלו אינו גדול, במיוחד כאשר ביטול ההחלטה יוביל לנזק (ראו בג"ץ 5635/17 </w:t>
      </w:r>
      <w:r>
        <w:rPr>
          <w:rFonts w:ascii="David" w:hAnsi="David" w:cs="David"/>
          <w:b/>
          <w:bCs/>
          <w:sz w:val="26"/>
          <w:szCs w:val="26"/>
          <w:rtl/>
        </w:rPr>
        <w:t>שפירא נ' שרת המשפטים ואח'</w:t>
      </w:r>
      <w:r>
        <w:rPr>
          <w:rFonts w:ascii="David" w:hAnsi="David" w:cs="David"/>
          <w:sz w:val="26"/>
          <w:szCs w:val="26"/>
          <w:rtl/>
        </w:rPr>
        <w:t xml:space="preserve"> (מיום 28.8.2017); בג"ץ 7505/98 </w:t>
      </w:r>
      <w:r>
        <w:rPr>
          <w:rFonts w:ascii="David" w:hAnsi="David" w:cs="David"/>
          <w:b/>
          <w:bCs/>
          <w:sz w:val="26"/>
          <w:szCs w:val="26"/>
          <w:rtl/>
        </w:rPr>
        <w:t>קורינאלדי נ' לשכת עורכי- הדין בישראל</w:t>
      </w:r>
      <w:r>
        <w:rPr>
          <w:rFonts w:ascii="David" w:hAnsi="David" w:cs="David"/>
          <w:sz w:val="26"/>
          <w:szCs w:val="26"/>
          <w:rtl/>
        </w:rPr>
        <w:t>, פ"ד נג (1) 153 (1999)). הנזק הצפוי בענייננו מביטול ההחלט</w:t>
      </w:r>
      <w:r w:rsidR="001A6FA9">
        <w:rPr>
          <w:rFonts w:ascii="David" w:hAnsi="David" w:cs="David" w:hint="cs"/>
          <w:sz w:val="26"/>
          <w:szCs w:val="26"/>
          <w:rtl/>
        </w:rPr>
        <w:t>ות</w:t>
      </w:r>
      <w:r>
        <w:rPr>
          <w:rFonts w:ascii="David" w:hAnsi="David" w:cs="David"/>
          <w:sz w:val="26"/>
          <w:szCs w:val="26"/>
          <w:rtl/>
        </w:rPr>
        <w:t xml:space="preserve"> הינו אבדן מס לקופת הציבור, בשל הוראות התיישנות</w:t>
      </w:r>
      <w:r w:rsidR="001A6FA9">
        <w:rPr>
          <w:rFonts w:ascii="David" w:hAnsi="David" w:cs="David" w:hint="cs"/>
          <w:sz w:val="26"/>
          <w:szCs w:val="26"/>
          <w:rtl/>
        </w:rPr>
        <w:t>, לא רק בתיק שלפנינו, אלא לגבי החלטות רבות שניתנו ברבות השנים</w:t>
      </w:r>
      <w:r>
        <w:rPr>
          <w:rFonts w:ascii="David" w:hAnsi="David" w:cs="David"/>
          <w:sz w:val="26"/>
          <w:szCs w:val="26"/>
          <w:rtl/>
        </w:rPr>
        <w:t xml:space="preserve">, ובאיזון הנאות בין השיקולים השונים, בשים לב לכך שלא </w:t>
      </w:r>
      <w:r w:rsidR="001A6FA9">
        <w:rPr>
          <w:rFonts w:ascii="David" w:hAnsi="David" w:cs="David" w:hint="cs"/>
          <w:sz w:val="26"/>
          <w:szCs w:val="26"/>
          <w:rtl/>
        </w:rPr>
        <w:t>נגרם למערערות עוול או</w:t>
      </w:r>
      <w:r>
        <w:rPr>
          <w:rFonts w:ascii="David" w:hAnsi="David" w:cs="David"/>
          <w:sz w:val="26"/>
          <w:szCs w:val="26"/>
          <w:rtl/>
        </w:rPr>
        <w:t xml:space="preserve"> נזק, אין בפגם האמור כדי להוביל לבטלות ההחלט</w:t>
      </w:r>
      <w:r w:rsidR="001A6FA9">
        <w:rPr>
          <w:rFonts w:ascii="David" w:hAnsi="David" w:cs="David" w:hint="cs"/>
          <w:sz w:val="26"/>
          <w:szCs w:val="26"/>
          <w:rtl/>
        </w:rPr>
        <w:t>ות שניתנו</w:t>
      </w:r>
      <w:r>
        <w:rPr>
          <w:rFonts w:ascii="David" w:hAnsi="David" w:cs="David"/>
          <w:sz w:val="26"/>
          <w:szCs w:val="26"/>
          <w:rtl/>
        </w:rPr>
        <w:t xml:space="preserve"> בהשג</w:t>
      </w:r>
      <w:r w:rsidR="001A6FA9">
        <w:rPr>
          <w:rFonts w:ascii="David" w:hAnsi="David" w:cs="David" w:hint="cs"/>
          <w:sz w:val="26"/>
          <w:szCs w:val="26"/>
          <w:rtl/>
        </w:rPr>
        <w:t>ות</w:t>
      </w:r>
      <w:r>
        <w:rPr>
          <w:rFonts w:ascii="David" w:hAnsi="David" w:cs="David"/>
          <w:sz w:val="26"/>
          <w:szCs w:val="26"/>
          <w:rtl/>
        </w:rPr>
        <w:t xml:space="preserve">.   </w:t>
      </w:r>
    </w:p>
    <w:p w:rsidR="001C7F94" w:rsidRDefault="001C7F94" w:rsidP="001A6FA9">
      <w:pPr>
        <w:pStyle w:val="ad"/>
        <w:numPr>
          <w:ilvl w:val="0"/>
          <w:numId w:val="1"/>
        </w:numPr>
        <w:spacing w:line="360" w:lineRule="auto"/>
        <w:jc w:val="both"/>
        <w:rPr>
          <w:rFonts w:ascii="David" w:hAnsi="David" w:cs="David"/>
          <w:sz w:val="26"/>
          <w:szCs w:val="26"/>
        </w:rPr>
      </w:pPr>
      <w:r>
        <w:rPr>
          <w:rFonts w:ascii="David" w:hAnsi="David" w:cs="David"/>
          <w:sz w:val="26"/>
          <w:szCs w:val="26"/>
          <w:rtl/>
        </w:rPr>
        <w:lastRenderedPageBreak/>
        <w:t xml:space="preserve">לא למותר להזכיר כי בשל טעמים דומים </w:t>
      </w:r>
      <w:r w:rsidR="001A6FA9">
        <w:rPr>
          <w:rFonts w:ascii="David" w:hAnsi="David" w:cs="David" w:hint="cs"/>
          <w:sz w:val="26"/>
          <w:szCs w:val="26"/>
          <w:rtl/>
        </w:rPr>
        <w:t xml:space="preserve">לטעמים שבשלם נחקק סעיף 135 בחוק מס ערך מוסף מלכתחילה </w:t>
      </w:r>
      <w:r>
        <w:rPr>
          <w:rFonts w:ascii="David" w:hAnsi="David" w:cs="David"/>
          <w:sz w:val="26"/>
          <w:szCs w:val="26"/>
          <w:rtl/>
        </w:rPr>
        <w:t xml:space="preserve">הכירו בתי המשפט </w:t>
      </w:r>
      <w:r w:rsidR="001A6FA9">
        <w:rPr>
          <w:rFonts w:ascii="David" w:hAnsi="David" w:cs="David" w:hint="cs"/>
          <w:sz w:val="26"/>
          <w:szCs w:val="26"/>
          <w:rtl/>
        </w:rPr>
        <w:t xml:space="preserve">גם </w:t>
      </w:r>
      <w:r w:rsidR="001A6FA9">
        <w:rPr>
          <w:rFonts w:ascii="David" w:hAnsi="David" w:cs="David"/>
          <w:sz w:val="26"/>
          <w:szCs w:val="26"/>
          <w:rtl/>
        </w:rPr>
        <w:t xml:space="preserve">בתוקפם של פסקי דין </w:t>
      </w:r>
      <w:r w:rsidR="001A6FA9">
        <w:rPr>
          <w:rFonts w:ascii="David" w:hAnsi="David" w:cs="David" w:hint="cs"/>
          <w:sz w:val="26"/>
          <w:szCs w:val="26"/>
          <w:rtl/>
        </w:rPr>
        <w:t>א</w:t>
      </w:r>
      <w:r>
        <w:rPr>
          <w:rFonts w:ascii="David" w:hAnsi="David" w:cs="David"/>
          <w:sz w:val="26"/>
          <w:szCs w:val="26"/>
          <w:rtl/>
        </w:rPr>
        <w:t xml:space="preserve">שר </w:t>
      </w:r>
      <w:r w:rsidR="001A6FA9">
        <w:rPr>
          <w:rFonts w:ascii="David" w:hAnsi="David" w:cs="David" w:hint="cs"/>
          <w:sz w:val="26"/>
          <w:szCs w:val="26"/>
          <w:rtl/>
        </w:rPr>
        <w:t>ניתנו על ידי שופט שנפל פגם בהסמכתו</w:t>
      </w:r>
      <w:r>
        <w:rPr>
          <w:rFonts w:ascii="David" w:hAnsi="David" w:cs="David"/>
          <w:sz w:val="26"/>
          <w:szCs w:val="26"/>
          <w:rtl/>
        </w:rPr>
        <w:t xml:space="preserve"> (מכוח מדוקטרינת ה"</w:t>
      </w:r>
      <w:r w:rsidR="001A6FA9">
        <w:rPr>
          <w:rFonts w:ascii="David" w:hAnsi="David" w:cs="David"/>
          <w:sz w:val="26"/>
          <w:szCs w:val="26"/>
          <w:rtl/>
        </w:rPr>
        <w:t>שופט דה פקטו")</w:t>
      </w:r>
      <w:r>
        <w:rPr>
          <w:rFonts w:ascii="David" w:hAnsi="David" w:cs="David"/>
          <w:sz w:val="26"/>
          <w:szCs w:val="26"/>
          <w:rtl/>
        </w:rPr>
        <w:t xml:space="preserve">. כך למשל סיכמה כב' השופטת ד' ברק ארז בבג"ץ  2455/19 </w:t>
      </w:r>
      <w:r>
        <w:rPr>
          <w:rFonts w:ascii="David" w:hAnsi="David" w:cs="David"/>
          <w:b/>
          <w:bCs/>
          <w:sz w:val="26"/>
          <w:szCs w:val="26"/>
          <w:rtl/>
        </w:rPr>
        <w:t>אסף נמרוד נ' נשיאת בית המשפט העליון ואח</w:t>
      </w:r>
      <w:r>
        <w:rPr>
          <w:rFonts w:ascii="David" w:hAnsi="David" w:cs="David"/>
          <w:sz w:val="26"/>
          <w:szCs w:val="26"/>
          <w:rtl/>
        </w:rPr>
        <w:t xml:space="preserve">' (מיום 24.10.2019)- </w:t>
      </w:r>
    </w:p>
    <w:p w:rsidR="001C7F94" w:rsidRDefault="001C7F94" w:rsidP="002131D3">
      <w:pPr>
        <w:pStyle w:val="Ruller4"/>
        <w:ind w:left="1440" w:right="426"/>
        <w:rPr>
          <w:rFonts w:ascii="David" w:hAnsi="David" w:cs="David"/>
          <w:b/>
          <w:bCs/>
          <w:sz w:val="26"/>
          <w:szCs w:val="26"/>
        </w:rPr>
      </w:pPr>
      <w:r>
        <w:rPr>
          <w:rFonts w:ascii="David" w:hAnsi="David" w:cs="David"/>
          <w:b/>
          <w:bCs/>
          <w:sz w:val="26"/>
          <w:szCs w:val="26"/>
          <w:rtl/>
        </w:rPr>
        <w:t>"גם אילו מדובר היה בפגם מהותי במינוי, הגם שלא זה המצב, בכל מקרה לא היה בכך כדי להוביל לביטולו של פסק הדין בערעור. כך בהתאם לדוקטרינת ה"שופט דה-פקטו", המקנה תוקף לפעולותיו של אדם שנחזה כבעל הסמכה חוקית, גם אם מתברר בדיעבד כי הסמכתו היתה פסולה או שתוקפה פג:</w:t>
      </w:r>
    </w:p>
    <w:p w:rsidR="001C7F94" w:rsidRDefault="001C7F94" w:rsidP="002131D3">
      <w:pPr>
        <w:pStyle w:val="Ruller4"/>
        <w:spacing w:line="240" w:lineRule="auto"/>
        <w:ind w:left="720" w:right="426"/>
        <w:rPr>
          <w:rFonts w:ascii="David" w:hAnsi="David" w:cs="David"/>
          <w:b/>
          <w:bCs/>
          <w:sz w:val="26"/>
          <w:szCs w:val="26"/>
          <w:rtl/>
        </w:rPr>
      </w:pPr>
    </w:p>
    <w:p w:rsidR="001C7F94" w:rsidRDefault="001C7F94" w:rsidP="002131D3">
      <w:pPr>
        <w:pStyle w:val="Ruller5"/>
        <w:spacing w:line="276" w:lineRule="auto"/>
        <w:ind w:left="1440" w:right="709"/>
        <w:rPr>
          <w:rFonts w:ascii="David" w:hAnsi="David" w:cs="David"/>
          <w:b/>
          <w:bCs/>
          <w:sz w:val="26"/>
          <w:szCs w:val="26"/>
          <w:rtl/>
        </w:rPr>
      </w:pPr>
      <w:r>
        <w:rPr>
          <w:rFonts w:ascii="David" w:hAnsi="David" w:cs="David"/>
          <w:b/>
          <w:bCs/>
          <w:sz w:val="26"/>
          <w:szCs w:val="26"/>
          <w:rtl/>
        </w:rPr>
        <w:t xml:space="preserve">"בתנאים ידועים, אין מרשים לערער את פעולותיו הרשמיות של אדם אשר כיהן כשופט דה-פקטו, רק משום שלא שימש כשופט דה-יורה. זאת אומרת, העקרון הוא, כי כל הבא לשלול את סמכותו של אחר לכהן כשופט, חייב לעשות כן על-ידי הליכים המכוונים במישרים להעביר את זה מכהונתו, או לאסור עליו את השיפוט בעניינו של האדם שדינו עומד להתקיים בפניו" (בג"ץ 19/56 ברנדווין נ' מנהל בית הסוהר המרכזי רמלה, פ"ד י (1) 617, 630 (1956)).  </w:t>
      </w:r>
    </w:p>
    <w:p w:rsidR="001C7F94" w:rsidRDefault="001C7F94" w:rsidP="002131D3">
      <w:pPr>
        <w:pStyle w:val="Ruller4"/>
        <w:ind w:left="720" w:right="426"/>
        <w:rPr>
          <w:rFonts w:ascii="David" w:hAnsi="David" w:cs="David"/>
          <w:b/>
          <w:bCs/>
          <w:sz w:val="26"/>
          <w:szCs w:val="26"/>
          <w:rtl/>
        </w:rPr>
      </w:pPr>
    </w:p>
    <w:p w:rsidR="001C7F94" w:rsidRDefault="001C7F94" w:rsidP="002131D3">
      <w:pPr>
        <w:pStyle w:val="Ruller4"/>
        <w:ind w:left="1440" w:right="426"/>
        <w:rPr>
          <w:rFonts w:ascii="David" w:hAnsi="David" w:cs="David"/>
          <w:b/>
          <w:bCs/>
          <w:sz w:val="26"/>
          <w:szCs w:val="26"/>
          <w:rtl/>
        </w:rPr>
      </w:pPr>
      <w:r>
        <w:rPr>
          <w:rFonts w:ascii="David" w:hAnsi="David" w:cs="David"/>
          <w:b/>
          <w:bCs/>
          <w:sz w:val="26"/>
          <w:szCs w:val="26"/>
          <w:rtl/>
        </w:rPr>
        <w:t>דוקטרינה זו, "</w:t>
      </w:r>
      <w:r>
        <w:rPr>
          <w:rFonts w:ascii="David" w:hAnsi="David" w:cs="David"/>
          <w:b/>
          <w:bCs/>
          <w:spacing w:val="0"/>
          <w:sz w:val="26"/>
          <w:szCs w:val="26"/>
          <w:rtl/>
        </w:rPr>
        <w:t>נועדה לשמור על יציבותה של מערכת המשפט; למנוע פגיעה בהסתמכות של צדדים שלישיים; להגן על האינטרס הציבורי הגלום בכך שהליכים שהתקיימו ופסקי דין שניתנו לא יהפכו לחסרי משמעות בשל פגמים טכניים; וכן למנוע שימוש תכסיסני בטענות שראוי להעלותן עוד לפני שמסתיים ההליך</w:t>
      </w:r>
      <w:r>
        <w:rPr>
          <w:rFonts w:ascii="David" w:hAnsi="David" w:cs="David"/>
          <w:b/>
          <w:bCs/>
          <w:sz w:val="26"/>
          <w:szCs w:val="26"/>
          <w:rtl/>
        </w:rPr>
        <w:t xml:space="preserve">" (ע"פ 1475/15 </w:t>
      </w:r>
      <w:r>
        <w:rPr>
          <w:rFonts w:ascii="David" w:hAnsi="David" w:cs="David"/>
          <w:b/>
          <w:bCs/>
          <w:spacing w:val="0"/>
          <w:sz w:val="26"/>
          <w:szCs w:val="26"/>
          <w:rtl/>
        </w:rPr>
        <w:t>פלוני נ' מדינת ישראל</w:t>
      </w:r>
      <w:r>
        <w:rPr>
          <w:rFonts w:ascii="David" w:hAnsi="David" w:cs="David"/>
          <w:b/>
          <w:bCs/>
          <w:sz w:val="26"/>
          <w:szCs w:val="26"/>
          <w:rtl/>
        </w:rPr>
        <w:t>, פסקה 22 (15.3.2016))".</w:t>
      </w:r>
      <w:r>
        <w:rPr>
          <w:b/>
          <w:bCs/>
          <w:rtl/>
        </w:rPr>
        <w:t xml:space="preserve"> </w:t>
      </w:r>
    </w:p>
    <w:p w:rsidR="002131D3" w:rsidRDefault="002131D3" w:rsidP="002131D3">
      <w:pPr>
        <w:pStyle w:val="Ruller4"/>
        <w:ind w:left="1440" w:right="426"/>
        <w:rPr>
          <w:rFonts w:ascii="David" w:hAnsi="David" w:cs="David"/>
          <w:b/>
          <w:bCs/>
          <w:sz w:val="26"/>
          <w:szCs w:val="26"/>
          <w:rtl/>
        </w:rPr>
      </w:pPr>
    </w:p>
    <w:p w:rsidR="001C7F94" w:rsidRDefault="001C7F94" w:rsidP="001C7F94">
      <w:pPr>
        <w:pStyle w:val="ad"/>
        <w:spacing w:line="360" w:lineRule="auto"/>
        <w:jc w:val="both"/>
        <w:rPr>
          <w:rFonts w:ascii="David" w:hAnsi="David" w:cs="David"/>
          <w:sz w:val="26"/>
          <w:szCs w:val="26"/>
          <w:rtl/>
        </w:rPr>
      </w:pPr>
      <w:r>
        <w:rPr>
          <w:rFonts w:ascii="David" w:hAnsi="David" w:cs="David"/>
          <w:sz w:val="26"/>
          <w:szCs w:val="26"/>
          <w:rtl/>
        </w:rPr>
        <w:t xml:space="preserve">(ראו גם בג"ץ 8703/19 </w:t>
      </w:r>
      <w:r w:rsidRPr="001A6FA9">
        <w:rPr>
          <w:rFonts w:ascii="David" w:hAnsi="David" w:cs="David"/>
          <w:b/>
          <w:bCs/>
          <w:sz w:val="26"/>
          <w:szCs w:val="26"/>
          <w:rtl/>
        </w:rPr>
        <w:t>איתמר שמעוני נ' נשיא בית המשפט המחוזי תל אביב- יפו</w:t>
      </w:r>
      <w:r>
        <w:rPr>
          <w:rFonts w:ascii="David" w:hAnsi="David" w:cs="David"/>
          <w:sz w:val="26"/>
          <w:szCs w:val="26"/>
          <w:rtl/>
        </w:rPr>
        <w:t xml:space="preserve"> (מיום 12.5.2020);  רע"פ 914/17 </w:t>
      </w:r>
      <w:r>
        <w:rPr>
          <w:rFonts w:ascii="David" w:hAnsi="David" w:cs="David"/>
          <w:b/>
          <w:bCs/>
          <w:sz w:val="26"/>
          <w:szCs w:val="26"/>
          <w:rtl/>
        </w:rPr>
        <w:t>חכמון אהרון בע"מ ואח' נ' עיריית נתניה</w:t>
      </w:r>
      <w:r>
        <w:rPr>
          <w:rFonts w:ascii="David" w:hAnsi="David" w:cs="David"/>
          <w:sz w:val="26"/>
          <w:szCs w:val="26"/>
          <w:rtl/>
        </w:rPr>
        <w:t xml:space="preserve"> (מיום 4.6.2017) </w:t>
      </w:r>
    </w:p>
    <w:p w:rsidR="001C7F94" w:rsidRDefault="001C7F94" w:rsidP="001A6FA9">
      <w:pPr>
        <w:pStyle w:val="ad"/>
        <w:numPr>
          <w:ilvl w:val="0"/>
          <w:numId w:val="1"/>
        </w:numPr>
        <w:spacing w:line="360" w:lineRule="auto"/>
        <w:jc w:val="both"/>
        <w:rPr>
          <w:rFonts w:ascii="David" w:hAnsi="David" w:cs="David"/>
          <w:sz w:val="26"/>
          <w:szCs w:val="26"/>
        </w:rPr>
      </w:pPr>
      <w:r>
        <w:rPr>
          <w:rFonts w:ascii="David" w:hAnsi="David" w:cs="David"/>
          <w:sz w:val="26"/>
          <w:szCs w:val="26"/>
          <w:rtl/>
        </w:rPr>
        <w:lastRenderedPageBreak/>
        <w:t>אשר על כן, ואף שמצאתי כי נפל פגם טכני ב</w:t>
      </w:r>
      <w:r w:rsidR="001A6FA9">
        <w:rPr>
          <w:rFonts w:ascii="David" w:hAnsi="David" w:cs="David" w:hint="cs"/>
          <w:sz w:val="26"/>
          <w:szCs w:val="26"/>
          <w:rtl/>
        </w:rPr>
        <w:t xml:space="preserve">כך שלא הואצלה במפורש סמכות לסגן בכיר לממונה האזורי, אלא בדיעבד, </w:t>
      </w:r>
      <w:r>
        <w:rPr>
          <w:rFonts w:ascii="David" w:hAnsi="David" w:cs="David"/>
          <w:sz w:val="26"/>
          <w:szCs w:val="26"/>
          <w:rtl/>
        </w:rPr>
        <w:t>לא מדובר בפגם שיש בו כדי להצד</w:t>
      </w:r>
      <w:r w:rsidR="001A6FA9">
        <w:rPr>
          <w:rFonts w:ascii="David" w:hAnsi="David" w:cs="David"/>
          <w:sz w:val="26"/>
          <w:szCs w:val="26"/>
          <w:rtl/>
        </w:rPr>
        <w:t>יק את ביטול ההחלטות שניתנו בהשג</w:t>
      </w:r>
      <w:r w:rsidR="001A6FA9">
        <w:rPr>
          <w:rFonts w:ascii="David" w:hAnsi="David" w:cs="David" w:hint="cs"/>
          <w:sz w:val="26"/>
          <w:szCs w:val="26"/>
          <w:rtl/>
        </w:rPr>
        <w:t>ות</w:t>
      </w:r>
      <w:r>
        <w:rPr>
          <w:rFonts w:ascii="David" w:hAnsi="David" w:cs="David"/>
          <w:sz w:val="26"/>
          <w:szCs w:val="26"/>
          <w:rtl/>
        </w:rPr>
        <w:t>.</w:t>
      </w:r>
    </w:p>
    <w:p w:rsidR="001C7F94" w:rsidRDefault="001C7F94" w:rsidP="001C7F94">
      <w:pPr>
        <w:spacing w:line="360" w:lineRule="auto"/>
        <w:ind w:left="360"/>
        <w:jc w:val="both"/>
        <w:rPr>
          <w:rFonts w:ascii="David" w:hAnsi="David"/>
          <w:b/>
          <w:bCs/>
          <w:sz w:val="26"/>
          <w:szCs w:val="26"/>
          <w:u w:val="single"/>
          <w:rtl/>
        </w:rPr>
      </w:pPr>
      <w:r>
        <w:rPr>
          <w:rFonts w:ascii="David" w:hAnsi="David"/>
          <w:b/>
          <w:bCs/>
          <w:sz w:val="26"/>
          <w:szCs w:val="26"/>
          <w:u w:val="single"/>
          <w:rtl/>
        </w:rPr>
        <w:t>סיכום</w:t>
      </w:r>
    </w:p>
    <w:p w:rsidR="002131D3" w:rsidRDefault="002131D3" w:rsidP="001C7F94">
      <w:pPr>
        <w:spacing w:line="360" w:lineRule="auto"/>
        <w:ind w:left="360"/>
        <w:jc w:val="both"/>
        <w:rPr>
          <w:rFonts w:ascii="David" w:hAnsi="David"/>
          <w:b/>
          <w:bCs/>
          <w:sz w:val="26"/>
          <w:szCs w:val="26"/>
          <w:u w:val="single"/>
        </w:rPr>
      </w:pPr>
    </w:p>
    <w:p w:rsidR="001C7F94" w:rsidRDefault="001C7F94" w:rsidP="002131D3">
      <w:pPr>
        <w:pStyle w:val="ad"/>
        <w:numPr>
          <w:ilvl w:val="0"/>
          <w:numId w:val="1"/>
        </w:numPr>
        <w:spacing w:line="360" w:lineRule="auto"/>
        <w:jc w:val="both"/>
        <w:rPr>
          <w:rFonts w:ascii="David" w:hAnsi="David" w:cs="David"/>
          <w:sz w:val="26"/>
          <w:szCs w:val="26"/>
        </w:rPr>
      </w:pPr>
      <w:r>
        <w:rPr>
          <w:rFonts w:ascii="David" w:hAnsi="David" w:cs="David"/>
          <w:sz w:val="26"/>
          <w:szCs w:val="26"/>
          <w:rtl/>
        </w:rPr>
        <w:t>הבקשה לקבלת הערעורים על הסף נדחית</w:t>
      </w:r>
      <w:r w:rsidR="001A6FA9">
        <w:rPr>
          <w:rFonts w:ascii="David" w:hAnsi="David" w:cs="David" w:hint="cs"/>
          <w:sz w:val="26"/>
          <w:szCs w:val="26"/>
          <w:rtl/>
        </w:rPr>
        <w:t>.</w:t>
      </w:r>
      <w:r>
        <w:rPr>
          <w:rFonts w:ascii="David" w:hAnsi="David" w:cs="David"/>
          <w:sz w:val="26"/>
          <w:szCs w:val="26"/>
          <w:rtl/>
        </w:rPr>
        <w:t xml:space="preserve"> </w:t>
      </w:r>
    </w:p>
    <w:p w:rsidR="002131D3" w:rsidRDefault="002131D3" w:rsidP="002131D3">
      <w:pPr>
        <w:pStyle w:val="ad"/>
        <w:numPr>
          <w:ilvl w:val="0"/>
          <w:numId w:val="1"/>
        </w:numPr>
        <w:spacing w:line="360" w:lineRule="auto"/>
        <w:jc w:val="both"/>
        <w:rPr>
          <w:rFonts w:ascii="David" w:hAnsi="David" w:cs="David"/>
          <w:sz w:val="26"/>
          <w:szCs w:val="26"/>
        </w:rPr>
      </w:pPr>
      <w:r>
        <w:rPr>
          <w:rFonts w:ascii="David" w:hAnsi="David" w:cs="David" w:hint="cs"/>
          <w:sz w:val="26"/>
          <w:szCs w:val="26"/>
          <w:rtl/>
        </w:rPr>
        <w:t>המערערות יגישו את תצהיריהן בתוך 45 ימים.</w:t>
      </w:r>
    </w:p>
    <w:p w:rsidR="001C7F94" w:rsidRDefault="001C7F94" w:rsidP="002131D3">
      <w:pPr>
        <w:pStyle w:val="ad"/>
        <w:numPr>
          <w:ilvl w:val="0"/>
          <w:numId w:val="1"/>
        </w:numPr>
        <w:spacing w:line="360" w:lineRule="auto"/>
        <w:jc w:val="both"/>
        <w:rPr>
          <w:rFonts w:ascii="David" w:hAnsi="David" w:cs="David"/>
          <w:sz w:val="26"/>
          <w:szCs w:val="26"/>
        </w:rPr>
      </w:pPr>
      <w:r>
        <w:rPr>
          <w:rFonts w:ascii="David" w:hAnsi="David" w:cs="David"/>
          <w:sz w:val="26"/>
          <w:szCs w:val="26"/>
          <w:rtl/>
        </w:rPr>
        <w:t>המ</w:t>
      </w:r>
      <w:r w:rsidR="002131D3">
        <w:rPr>
          <w:rFonts w:ascii="David" w:hAnsi="David" w:cs="David" w:hint="cs"/>
          <w:sz w:val="26"/>
          <w:szCs w:val="26"/>
          <w:rtl/>
        </w:rPr>
        <w:t>ערער</w:t>
      </w:r>
      <w:r>
        <w:rPr>
          <w:rFonts w:ascii="David" w:hAnsi="David" w:cs="David"/>
          <w:sz w:val="26"/>
          <w:szCs w:val="26"/>
          <w:rtl/>
        </w:rPr>
        <w:t>ות ישלמו למשיב את הוצאותיו, בסכום ש</w:t>
      </w:r>
      <w:r w:rsidR="002131D3">
        <w:rPr>
          <w:rFonts w:ascii="David" w:hAnsi="David" w:cs="David" w:hint="cs"/>
          <w:sz w:val="26"/>
          <w:szCs w:val="26"/>
          <w:rtl/>
        </w:rPr>
        <w:t>ל</w:t>
      </w:r>
      <w:r>
        <w:rPr>
          <w:rFonts w:ascii="David" w:hAnsi="David" w:cs="David"/>
          <w:sz w:val="26"/>
          <w:szCs w:val="26"/>
          <w:rtl/>
        </w:rPr>
        <w:t>, 7,500 ₪, בתוך 30 ימים</w:t>
      </w:r>
      <w:r w:rsidR="002131D3">
        <w:rPr>
          <w:rFonts w:ascii="David" w:hAnsi="David" w:cs="David" w:hint="cs"/>
          <w:sz w:val="26"/>
          <w:szCs w:val="26"/>
          <w:rtl/>
        </w:rPr>
        <w:t xml:space="preserve">. ככל שהסכום לא ישולם במועד האמור, הוא יישא הפרשי הצמדה וריבית כחוק. </w:t>
      </w:r>
      <w:r>
        <w:rPr>
          <w:rFonts w:ascii="David" w:hAnsi="David" w:cs="David"/>
          <w:sz w:val="26"/>
          <w:szCs w:val="26"/>
          <w:rtl/>
        </w:rPr>
        <w:t xml:space="preserve"> </w:t>
      </w:r>
    </w:p>
    <w:p w:rsidR="001C7F94" w:rsidRDefault="001C7F94" w:rsidP="001C7F94">
      <w:pPr>
        <w:pStyle w:val="ad"/>
        <w:spacing w:line="360" w:lineRule="auto"/>
        <w:rPr>
          <w:rFonts w:ascii="David" w:hAnsi="David" w:cs="David"/>
          <w:sz w:val="26"/>
          <w:szCs w:val="26"/>
        </w:rPr>
      </w:pPr>
    </w:p>
    <w:p w:rsidR="00694556" w:rsidRPr="001C7F94"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יולי 2023</w:t>
          </w:r>
        </w:sdtContent>
      </w:sdt>
      <w:r w:rsidR="00005C8B">
        <w:rPr>
          <w:rFonts w:ascii="Arial" w:hAnsi="Arial"/>
          <w:noProof w:val="0"/>
          <w:rtl/>
        </w:rPr>
        <w:t>, בהעדר הצדדים.</w:t>
      </w:r>
    </w:p>
    <w:p w:rsidR="00C43648" w:rsidRDefault="0058682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17830048"/>
        </w:sdtPr>
        <w:sdtEndPr/>
        <w:sdtContent>
          <w:r w:rsidR="004B3052">
            <w:drawing>
              <wp:inline distT="0" distB="0" distL="0" distR="0" wp14:editId="50D07946">
                <wp:extent cx="10001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00125" cy="1076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9"/>
      <w:headerReference w:type="default" r:id="rId10"/>
      <w:footerReference w:type="even" r:id="rId11"/>
      <w:footerReference w:type="default" r:id="rId12"/>
      <w:headerReference w:type="first" r:id="rId13"/>
      <w:footerReference w:type="first" r:id="rId14"/>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826" w:rsidRDefault="00586826">
      <w:r>
        <w:separator/>
      </w:r>
    </w:p>
  </w:endnote>
  <w:endnote w:type="continuationSeparator" w:id="0">
    <w:p w:rsidR="00586826" w:rsidRDefault="00586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6313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63136">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826" w:rsidRDefault="00586826">
      <w:r>
        <w:separator/>
      </w:r>
    </w:p>
  </w:footnote>
  <w:footnote w:type="continuationSeparator" w:id="0">
    <w:p w:rsidR="00586826" w:rsidRDefault="00586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86826" w:rsidP="00CD516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ע"מ</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52585-05-22</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FE09EC">
                <w:rPr>
                  <w:b/>
                  <w:bCs/>
                  <w:noProof w:val="0"/>
                  <w:sz w:val="26"/>
                  <w:szCs w:val="26"/>
                  <w:rtl/>
                </w:rPr>
                <w:t>קום סנטר טכנולוגיות בע"מ נ' מע"מ/מכס – רשות המיסים</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586826" w:rsidP="001C7F94">
          <w:pPr>
            <w:rPr>
              <w:b/>
              <w:bCs/>
              <w:noProof w:val="0"/>
              <w:sz w:val="26"/>
              <w:szCs w:val="26"/>
              <w:rtl/>
            </w:rPr>
          </w:pPr>
          <w:sdt>
            <w:sdtPr>
              <w:rPr>
                <w:rtl/>
              </w:rPr>
              <w:alias w:val="1170"/>
              <w:tag w:val="1170"/>
              <w:id w:val="1376507818"/>
              <w:text w:multiLine="1"/>
            </w:sdtPr>
            <w:sdtEndPr/>
            <w:sdtContent>
              <w:r w:rsidR="00FE09EC">
                <w:rPr>
                  <w:b/>
                  <w:bCs/>
                  <w:noProof w:val="0"/>
                  <w:sz w:val="26"/>
                  <w:szCs w:val="26"/>
                  <w:rtl/>
                </w:rPr>
                <w:t>ע"מ</w:t>
              </w:r>
            </w:sdtContent>
          </w:sdt>
          <w:r w:rsidR="00005C8B">
            <w:rPr>
              <w:b/>
              <w:bCs/>
              <w:noProof w:val="0"/>
              <w:sz w:val="26"/>
              <w:szCs w:val="26"/>
              <w:rtl/>
            </w:rPr>
            <w:t xml:space="preserve"> </w:t>
          </w:r>
          <w:sdt>
            <w:sdtPr>
              <w:rPr>
                <w:rtl/>
              </w:rPr>
              <w:alias w:val="1171"/>
              <w:tag w:val="1171"/>
              <w:id w:val="101855193"/>
              <w:text w:multiLine="1"/>
            </w:sdtPr>
            <w:sdtEndPr/>
            <w:sdtContent>
              <w:r w:rsidR="00FE09EC">
                <w:rPr>
                  <w:b/>
                  <w:bCs/>
                  <w:noProof w:val="0"/>
                  <w:sz w:val="26"/>
                  <w:szCs w:val="26"/>
                  <w:rtl/>
                </w:rPr>
                <w:t>62008-09-22</w:t>
              </w:r>
            </w:sdtContent>
          </w:sdt>
          <w:r w:rsidR="00005C8B">
            <w:rPr>
              <w:b/>
              <w:bCs/>
              <w:noProof w:val="0"/>
              <w:sz w:val="26"/>
              <w:szCs w:val="26"/>
              <w:rtl/>
            </w:rPr>
            <w:t xml:space="preserve"> </w:t>
          </w:r>
          <w:sdt>
            <w:sdtPr>
              <w:rPr>
                <w:b/>
                <w:bCs/>
                <w:noProof w:val="0"/>
                <w:sz w:val="26"/>
                <w:szCs w:val="26"/>
                <w:rtl/>
              </w:rPr>
              <w:alias w:val="3154"/>
              <w:tag w:val="3154"/>
              <w:id w:val="-225300402"/>
              <w:placeholder>
                <w:docPart w:val="4672CCA166BA4F0A892EB1D7BA0002CB"/>
              </w:placeholder>
              <w:text w:multiLine="1"/>
            </w:sdtPr>
            <w:sdtEndPr/>
            <w:sdtContent>
              <w:r w:rsidR="001C7F94">
                <w:rPr>
                  <w:rFonts w:hint="cs"/>
                  <w:b/>
                  <w:bCs/>
                  <w:noProof w:val="0"/>
                  <w:sz w:val="26"/>
                  <w:szCs w:val="26"/>
                  <w:rtl/>
                </w:rPr>
                <w:t>סינסיפיק אנטרפרייז בע"מ</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516B" w:rsidRDefault="00CD516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9E2C1A"/>
    <w:multiLevelType w:val="hybridMultilevel"/>
    <w:tmpl w:val="CEE24D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14BB1"/>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A6FA9"/>
    <w:rsid w:val="001B7078"/>
    <w:rsid w:val="001C4003"/>
    <w:rsid w:val="001C7F94"/>
    <w:rsid w:val="001D4DBF"/>
    <w:rsid w:val="001E75CA"/>
    <w:rsid w:val="002131D3"/>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62C62"/>
    <w:rsid w:val="00463136"/>
    <w:rsid w:val="00465D36"/>
    <w:rsid w:val="004B3052"/>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86826"/>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24C1"/>
    <w:rsid w:val="007B7765"/>
    <w:rsid w:val="007C5BDD"/>
    <w:rsid w:val="007D45E3"/>
    <w:rsid w:val="007E6115"/>
    <w:rsid w:val="007F4609"/>
    <w:rsid w:val="00814468"/>
    <w:rsid w:val="008176A1"/>
    <w:rsid w:val="00820005"/>
    <w:rsid w:val="00841158"/>
    <w:rsid w:val="00844318"/>
    <w:rsid w:val="0084474D"/>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528F"/>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82525"/>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EE5475"/>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C7F94"/>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4"/>
    <w:basedOn w:val="a"/>
    <w:rsid w:val="001C7F94"/>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1C7F94"/>
    <w:pPr>
      <w:overflowPunct w:val="0"/>
      <w:autoSpaceDE w:val="0"/>
      <w:autoSpaceDN w:val="0"/>
      <w:adjustRightInd w:val="0"/>
      <w:ind w:left="1642" w:right="1282"/>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43107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E48F3" w:rsidP="009E48F3">
          <w:pPr>
            <w:pStyle w:val="E460D38E05664FF79D4EFF282EF8EC9930"/>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BD69D1" w:rsidP="00BD69D1">
          <w:pPr>
            <w:pStyle w:val="D290653DA13E4E738B7E725F79D7332922"/>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9E48F3" w:rsidP="009E48F3">
          <w:pPr>
            <w:pStyle w:val="4672CCA166BA4F0A892EB1D7BA0002CB5"/>
          </w:pPr>
          <w:r>
            <w:rPr>
              <w:b/>
              <w:bCs/>
              <w:noProof w:val="0"/>
              <w:sz w:val="26"/>
              <w:szCs w:val="26"/>
              <w:highlight w:val="yellow"/>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
      <w:docPartPr>
        <w:name w:val="610C6E051A88448494B3C30FBAD74773"/>
        <w:category>
          <w:name w:val="כללי"/>
          <w:gallery w:val="placeholder"/>
        </w:category>
        <w:types>
          <w:type w:val="bbPlcHdr"/>
        </w:types>
        <w:behaviors>
          <w:behavior w:val="content"/>
        </w:behaviors>
        <w:guid w:val="{32729ED7-1D63-4C4A-930C-D34E871FB7B5}"/>
      </w:docPartPr>
      <w:docPartBody>
        <w:p w:rsidR="00D6580E" w:rsidRDefault="00BD69D1" w:rsidP="00BD69D1">
          <w:pPr>
            <w:pStyle w:val="610C6E051A88448494B3C30FBAD747733"/>
          </w:pPr>
          <w:r w:rsidRPr="00B62AD7">
            <w:rPr>
              <w:rFonts w:ascii="David" w:eastAsia="David" w:hAnsi="David"/>
              <w:b/>
              <w:bCs/>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1F1DE5"/>
    <w:rsid w:val="002D02C4"/>
    <w:rsid w:val="00317A42"/>
    <w:rsid w:val="00345C9D"/>
    <w:rsid w:val="0048651F"/>
    <w:rsid w:val="004B017A"/>
    <w:rsid w:val="005157ED"/>
    <w:rsid w:val="00556D67"/>
    <w:rsid w:val="00673B50"/>
    <w:rsid w:val="00793995"/>
    <w:rsid w:val="007C6F98"/>
    <w:rsid w:val="007E254A"/>
    <w:rsid w:val="00883249"/>
    <w:rsid w:val="008B4366"/>
    <w:rsid w:val="009133C7"/>
    <w:rsid w:val="009178E4"/>
    <w:rsid w:val="00961B27"/>
    <w:rsid w:val="009A36E7"/>
    <w:rsid w:val="009E48F3"/>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48F3"/>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9E48F3"/>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9E48F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1973</Words>
  <Characters>9867</Characters>
  <Application>Microsoft Office Word</Application>
  <DocSecurity>0</DocSecurity>
  <Lines>82</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2023-07-17T05:28:00Z</dcterms:created>
  <dcterms:modified xsi:type="dcterms:W3CDTF">2023-07-17T05:28:00Z</dcterms:modified>
</cp:coreProperties>
</file>